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87AC8" w14:textId="237B0DA5" w:rsidR="003B7339" w:rsidRDefault="00D36216">
      <w:pPr>
        <w:spacing w:before="157" w:after="157" w:line="270" w:lineRule="auto"/>
        <w:rPr>
          <w:rFonts w:eastAsia="Georgia" w:hAnsi="Georgia" w:cs="Georgia"/>
          <w:b/>
          <w:color w:val="000000"/>
          <w:sz w:val="16"/>
          <w:szCs w:val="16"/>
          <w:lang w:eastAsia="zh-TW"/>
        </w:rPr>
      </w:pPr>
      <w:r>
        <w:t>IPO 客户检查清单与资讯请求清单</w:t>
      </w:r>
    </w:p>
    <w:p w14:paraId="265FC450" w14:textId="149D7402" w:rsidR="003B7339" w:rsidRPr="009B44F1" w:rsidRDefault="009B44F1" w:rsidP="00C955AB">
      <w:pPr>
        <w:spacing w:before="315" w:after="105" w:line="360" w:lineRule="auto"/>
        <w:rPr>
          <w:b/>
          <w:bCs/>
          <w:sz w:val="16"/>
          <w:szCs w:val="16"/>
        </w:rPr>
      </w:pPr>
      <w:r>
        <w:t>客户资讯</w:t>
      </w:r>
    </w:p>
    <w:p w14:paraId="3206A6CD" w14:textId="77777777" w:rsidR="003B7339" w:rsidRPr="00C955AB" w:rsidRDefault="00D36216">
      <w:pPr>
        <w:numPr>
          <w:ilvl w:val="0"/>
          <w:numId w:val="1"/>
        </w:numPr>
        <w:spacing w:before="105" w:after="105" w:line="360" w:lineRule="auto"/>
        <w:rPr>
          <w:sz w:val="16"/>
          <w:szCs w:val="16"/>
          <w:lang w:eastAsia="zh-TW"/>
        </w:rPr>
      </w:pPr>
      <w:r>
        <w:t>客户法定姓名、注册号码、设立地点、注册办公室及主要营业地址。</w:t>
      </w:r>
    </w:p>
    <w:p w14:paraId="4439D12D" w14:textId="77777777" w:rsidR="003B7339" w:rsidRPr="00C955AB" w:rsidRDefault="00D36216">
      <w:pPr>
        <w:numPr>
          <w:ilvl w:val="0"/>
          <w:numId w:val="1"/>
        </w:numPr>
        <w:spacing w:before="105" w:after="105" w:line="360" w:lineRule="auto"/>
        <w:rPr>
          <w:sz w:val="16"/>
          <w:szCs w:val="16"/>
          <w:lang w:eastAsia="zh-TW"/>
        </w:rPr>
      </w:pPr>
      <w:r>
        <w:t>主要联络人名单，包括创办人、财务长、财务主管、法律主管、公司秘书及外部顾问。</w:t>
      </w:r>
    </w:p>
    <w:p w14:paraId="791A88DB" w14:textId="77777777" w:rsidR="003B7339" w:rsidRPr="00C955AB" w:rsidRDefault="00D36216">
      <w:pPr>
        <w:numPr>
          <w:ilvl w:val="0"/>
          <w:numId w:val="1"/>
        </w:numPr>
        <w:spacing w:before="105" w:after="105" w:line="360" w:lineRule="auto"/>
        <w:rPr>
          <w:sz w:val="16"/>
          <w:szCs w:val="16"/>
          <w:lang w:eastAsia="zh-TW"/>
        </w:rPr>
      </w:pPr>
      <w:r>
        <w:t>目标上市地点、预期时间表及追求首次公开募股的原因。</w:t>
      </w:r>
    </w:p>
    <w:p w14:paraId="0A012DC7" w14:textId="77777777" w:rsidR="003B7339" w:rsidRPr="00C955AB" w:rsidRDefault="00D36216">
      <w:pPr>
        <w:numPr>
          <w:ilvl w:val="0"/>
          <w:numId w:val="1"/>
        </w:numPr>
        <w:spacing w:before="105" w:after="105" w:line="360" w:lineRule="auto"/>
        <w:rPr>
          <w:sz w:val="16"/>
          <w:szCs w:val="16"/>
          <w:lang w:eastAsia="zh-TW"/>
        </w:rPr>
      </w:pPr>
      <w:r>
        <w:t>拟议募资规模、资金使用情况摘要，以及要议是否包含主要股份、次要股份或两者皆有。</w:t>
      </w:r>
    </w:p>
    <w:p w14:paraId="6A45D447" w14:textId="6EFCE2AF" w:rsidR="003B7339" w:rsidRPr="00C955AB" w:rsidRDefault="00D36216">
      <w:pPr>
        <w:numPr>
          <w:ilvl w:val="0"/>
          <w:numId w:val="1"/>
        </w:numPr>
        <w:spacing w:before="105" w:after="105" w:line="360" w:lineRule="auto"/>
        <w:rPr>
          <w:sz w:val="16"/>
          <w:szCs w:val="16"/>
          <w:lang w:eastAsia="zh-TW"/>
        </w:rPr>
      </w:pPr>
      <w:r>
        <w:t>任何先前的首次公开募股准备、尽职调查、企业融资活动或中止上市流程的详细资料。</w:t>
      </w:r>
    </w:p>
    <w:p w14:paraId="42B689DE" w14:textId="77777777" w:rsidR="002600B0" w:rsidRDefault="00D36216" w:rsidP="002600B0">
      <w:pPr>
        <w:spacing w:before="315" w:after="105" w:line="360" w:lineRule="auto"/>
        <w:ind w:left="-30"/>
        <w:rPr>
          <w:sz w:val="16"/>
          <w:szCs w:val="16"/>
          <w:lang w:eastAsia="zh-TW"/>
        </w:rPr>
      </w:pPr>
      <w:r>
        <w:t>公司与集团结构</w:t>
      </w:r>
    </w:p>
    <w:p w14:paraId="1BA0FDDC" w14:textId="187E5CB0" w:rsidR="003B7339" w:rsidRPr="002600B0" w:rsidRDefault="002E1433" w:rsidP="002600B0">
      <w:pPr>
        <w:spacing w:before="315" w:after="105" w:line="360" w:lineRule="auto"/>
        <w:ind w:left="-30"/>
        <w:rPr>
          <w:sz w:val="16"/>
          <w:szCs w:val="16"/>
          <w:lang w:eastAsia="zh-TW"/>
        </w:rPr>
      </w:pPr>
      <w:r>
        <w:t>在开始详细工作前，请先了解法律与所有权结构的完整架构：</w:t>
      </w:r>
    </w:p>
    <w:p w14:paraId="0A37A110" w14:textId="77777777" w:rsidR="003B7339" w:rsidRPr="00C955AB" w:rsidRDefault="00D36216">
      <w:pPr>
        <w:numPr>
          <w:ilvl w:val="0"/>
          <w:numId w:val="2"/>
        </w:numPr>
        <w:spacing w:before="105" w:after="105" w:line="360" w:lineRule="auto"/>
        <w:rPr>
          <w:sz w:val="16"/>
          <w:szCs w:val="16"/>
          <w:lang w:eastAsia="zh-TW"/>
        </w:rPr>
      </w:pPr>
      <w:r>
        <w:t>最新的集团结构图，显示所有控股公司、子公司、分支机构、代表处、合作伙伴及合资企业。</w:t>
      </w:r>
    </w:p>
    <w:p w14:paraId="132AA8E0" w14:textId="77777777" w:rsidR="003B7339" w:rsidRPr="00C955AB" w:rsidRDefault="00D36216">
      <w:pPr>
        <w:numPr>
          <w:ilvl w:val="0"/>
          <w:numId w:val="2"/>
        </w:numPr>
        <w:spacing w:before="105" w:after="105" w:line="360" w:lineRule="auto"/>
        <w:rPr>
          <w:sz w:val="16"/>
          <w:szCs w:val="16"/>
          <w:lang w:eastAsia="zh-TW"/>
        </w:rPr>
      </w:pPr>
      <w:r>
        <w:t>各实体的持股比例、设立地点及主要业务内容。</w:t>
      </w:r>
    </w:p>
    <w:p w14:paraId="669D467B" w14:textId="77777777" w:rsidR="003B7339" w:rsidRPr="00C955AB" w:rsidRDefault="00D36216">
      <w:pPr>
        <w:numPr>
          <w:ilvl w:val="0"/>
          <w:numId w:val="2"/>
        </w:numPr>
        <w:spacing w:before="105" w:after="105" w:line="360" w:lineRule="auto"/>
        <w:rPr>
          <w:sz w:val="16"/>
          <w:szCs w:val="16"/>
          <w:lang w:eastAsia="zh-TW"/>
        </w:rPr>
      </w:pPr>
      <w:r>
        <w:t>各重要实体的宪法文件、公司注册书、商业登记及法定记录。</w:t>
      </w:r>
    </w:p>
    <w:p w14:paraId="3AA5C3DC" w14:textId="77777777" w:rsidR="003B7339" w:rsidRPr="00C955AB" w:rsidRDefault="00D36216">
      <w:pPr>
        <w:numPr>
          <w:ilvl w:val="0"/>
          <w:numId w:val="2"/>
        </w:numPr>
        <w:spacing w:before="105" w:after="105" w:line="360" w:lineRule="auto"/>
        <w:rPr>
          <w:sz w:val="16"/>
          <w:szCs w:val="16"/>
          <w:lang w:eastAsia="zh-TW"/>
        </w:rPr>
      </w:pPr>
      <w:r>
        <w:t>会员登记册、董事登记册及最终实益所有权细节。</w:t>
      </w:r>
    </w:p>
    <w:p w14:paraId="0457AD56" w14:textId="77777777" w:rsidR="003B7339" w:rsidRPr="00C955AB" w:rsidRDefault="00D36216">
      <w:pPr>
        <w:numPr>
          <w:ilvl w:val="0"/>
          <w:numId w:val="2"/>
        </w:numPr>
        <w:spacing w:before="105" w:after="105" w:line="360" w:lineRule="auto"/>
        <w:rPr>
          <w:sz w:val="16"/>
          <w:szCs w:val="16"/>
          <w:lang w:eastAsia="zh-TW"/>
        </w:rPr>
      </w:pPr>
      <w:r>
        <w:t>名义持有人、信托、变动权益实体安排、侧边协议或其他非标准控制安排的详细资讯。</w:t>
      </w:r>
    </w:p>
    <w:p w14:paraId="32A16AA0" w14:textId="3916832A" w:rsidR="003B7339" w:rsidRPr="00C955AB" w:rsidRDefault="00D36216">
      <w:pPr>
        <w:numPr>
          <w:ilvl w:val="0"/>
          <w:numId w:val="2"/>
        </w:numPr>
        <w:spacing w:before="105" w:after="105" w:line="360" w:lineRule="auto"/>
        <w:rPr>
          <w:sz w:val="16"/>
          <w:szCs w:val="16"/>
          <w:lang w:eastAsia="zh-TW"/>
        </w:rPr>
      </w:pPr>
      <w:r>
        <w:t>有关历史及拟议重组的资讯。</w:t>
      </w:r>
    </w:p>
    <w:p w14:paraId="7584404F" w14:textId="77777777" w:rsidR="003B7339" w:rsidRPr="00C955AB" w:rsidRDefault="00D36216">
      <w:pPr>
        <w:spacing w:before="315" w:after="105" w:line="360" w:lineRule="auto"/>
        <w:ind w:left="-30"/>
        <w:rPr>
          <w:sz w:val="16"/>
          <w:szCs w:val="16"/>
          <w:lang w:eastAsia="zh-TW"/>
        </w:rPr>
      </w:pPr>
      <w:r>
        <w:t>股本与投资人历史</w:t>
      </w:r>
    </w:p>
    <w:p w14:paraId="6DA3FBC6" w14:textId="2492AF56" w:rsidR="003B7339" w:rsidRPr="00EC163D" w:rsidRDefault="00EC163D">
      <w:pPr>
        <w:spacing w:after="210" w:line="360" w:lineRule="auto"/>
        <w:rPr>
          <w:i/>
          <w:iCs/>
          <w:sz w:val="16"/>
          <w:szCs w:val="16"/>
          <w:lang w:eastAsia="zh-TW"/>
        </w:rPr>
      </w:pPr>
      <w:r>
        <w:t>完整的股权故事与资本历史：</w:t>
      </w:r>
    </w:p>
    <w:p w14:paraId="46FEDC7B" w14:textId="77777777" w:rsidR="003B7339" w:rsidRPr="00C955AB" w:rsidRDefault="00D36216">
      <w:pPr>
        <w:numPr>
          <w:ilvl w:val="0"/>
          <w:numId w:val="3"/>
        </w:numPr>
        <w:spacing w:before="105" w:after="105" w:line="360" w:lineRule="auto"/>
        <w:rPr>
          <w:sz w:val="16"/>
          <w:szCs w:val="16"/>
          <w:lang w:eastAsia="zh-TW"/>
        </w:rPr>
      </w:pPr>
      <w:r>
        <w:t>目前的资本化表，包括所有股份类别及持股比例。</w:t>
      </w:r>
    </w:p>
    <w:p w14:paraId="3A5D36C5" w14:textId="77777777" w:rsidR="003B7339" w:rsidRPr="00C955AB" w:rsidRDefault="00D36216">
      <w:pPr>
        <w:numPr>
          <w:ilvl w:val="0"/>
          <w:numId w:val="3"/>
        </w:numPr>
        <w:spacing w:before="105" w:after="105" w:line="360" w:lineRule="auto"/>
        <w:rPr>
          <w:sz w:val="16"/>
          <w:szCs w:val="16"/>
          <w:lang w:eastAsia="zh-TW"/>
        </w:rPr>
      </w:pPr>
      <w:r>
        <w:t>过去股票发行、转让、回购、赎回、红利发行、资本缩减及股息详情。</w:t>
      </w:r>
    </w:p>
    <w:p w14:paraId="250B0679" w14:textId="77777777" w:rsidR="003B7339" w:rsidRPr="00C955AB" w:rsidRDefault="00D36216">
      <w:pPr>
        <w:numPr>
          <w:ilvl w:val="0"/>
          <w:numId w:val="3"/>
        </w:numPr>
        <w:spacing w:before="105" w:after="105" w:line="360" w:lineRule="auto"/>
        <w:rPr>
          <w:sz w:val="16"/>
          <w:szCs w:val="16"/>
          <w:lang w:eastAsia="zh-TW"/>
        </w:rPr>
      </w:pPr>
      <w:r>
        <w:t>股东协议、投资人权利协议、认购协议及附函。</w:t>
      </w:r>
    </w:p>
    <w:p w14:paraId="330420CE" w14:textId="09980BCF" w:rsidR="003B7339" w:rsidRPr="00C955AB" w:rsidRDefault="00D36216">
      <w:pPr>
        <w:numPr>
          <w:ilvl w:val="0"/>
          <w:numId w:val="3"/>
        </w:numPr>
        <w:spacing w:before="105" w:after="105" w:line="360" w:lineRule="auto"/>
        <w:rPr>
          <w:sz w:val="16"/>
          <w:szCs w:val="16"/>
          <w:lang w:eastAsia="zh-TW"/>
        </w:rPr>
      </w:pPr>
      <w:r>
        <w:t>优先股、可转换工具、认股权证、期权 或类似权利的详细资讯。</w:t>
      </w:r>
    </w:p>
    <w:p w14:paraId="406B584D" w14:textId="74BB7ACF" w:rsidR="003B7339" w:rsidRPr="00C955AB" w:rsidRDefault="00D36216">
      <w:pPr>
        <w:numPr>
          <w:ilvl w:val="0"/>
          <w:numId w:val="3"/>
        </w:numPr>
        <w:spacing w:before="105" w:after="105" w:line="360" w:lineRule="auto"/>
        <w:rPr>
          <w:sz w:val="16"/>
          <w:szCs w:val="16"/>
          <w:lang w:eastAsia="zh-TW"/>
        </w:rPr>
      </w:pPr>
      <w:r>
        <w:t>员工股票选择权计划。</w:t>
      </w:r>
    </w:p>
    <w:p w14:paraId="7127572A" w14:textId="2E4D6E70" w:rsidR="003B7339" w:rsidRPr="00C955AB" w:rsidRDefault="00D36216">
      <w:pPr>
        <w:numPr>
          <w:ilvl w:val="0"/>
          <w:numId w:val="3"/>
        </w:numPr>
        <w:spacing w:before="105" w:after="105" w:line="360" w:lineRule="auto"/>
        <w:rPr>
          <w:sz w:val="16"/>
          <w:szCs w:val="16"/>
          <w:lang w:eastAsia="zh-TW"/>
        </w:rPr>
      </w:pPr>
      <w:r>
        <w:t>任何规划中的基石项目、上市前的投资安排，或策略性投资安排。</w:t>
      </w:r>
    </w:p>
    <w:p w14:paraId="0E55A162" w14:textId="77777777" w:rsidR="00E856AF" w:rsidRDefault="00E856AF">
      <w:pPr>
        <w:spacing w:before="315" w:after="105" w:line="360" w:lineRule="auto"/>
        <w:ind w:left="-30"/>
        <w:rPr>
          <w:rFonts w:eastAsia="Georgia" w:hAnsi="Georgia" w:cs="Georgia"/>
          <w:b/>
          <w:color w:val="000000"/>
          <w:sz w:val="16"/>
          <w:szCs w:val="16"/>
          <w:lang w:eastAsia="zh-TW"/>
        </w:rPr>
      </w:pPr>
      <w:bookmarkStart w:id="4" w:name="business_overview"/>
    </w:p>
    <w:p w14:paraId="203720A1" w14:textId="77777777" w:rsidR="00E856AF" w:rsidRDefault="00E856AF">
      <w:pPr>
        <w:spacing w:before="315" w:after="105" w:line="360" w:lineRule="auto"/>
        <w:ind w:left="-30"/>
        <w:rPr>
          <w:rFonts w:eastAsia="Georgia" w:hAnsi="Georgia" w:cs="Georgia"/>
          <w:b/>
          <w:color w:val="000000"/>
          <w:sz w:val="16"/>
          <w:szCs w:val="16"/>
          <w:lang w:eastAsia="zh-TW"/>
        </w:rPr>
      </w:pPr>
    </w:p>
    <w:p w14:paraId="4D597611" w14:textId="77777777" w:rsidR="00E856AF" w:rsidRDefault="00E856AF">
      <w:pPr>
        <w:spacing w:before="315" w:after="105" w:line="360" w:lineRule="auto"/>
        <w:ind w:left="-30"/>
        <w:rPr>
          <w:rFonts w:eastAsia="Georgia" w:hAnsi="Georgia" w:cs="Georgia"/>
          <w:b/>
          <w:color w:val="000000"/>
          <w:sz w:val="16"/>
          <w:szCs w:val="16"/>
          <w:lang w:eastAsia="zh-TW"/>
        </w:rPr>
      </w:pPr>
    </w:p>
    <w:p w14:paraId="0892B13C" w14:textId="77777777" w:rsidR="00E856AF" w:rsidRDefault="00E856AF">
      <w:pPr>
        <w:spacing w:before="315" w:after="105" w:line="360" w:lineRule="auto"/>
        <w:ind w:left="-30"/>
        <w:rPr>
          <w:rFonts w:eastAsia="Georgia" w:hAnsi="Georgia" w:cs="Georgia"/>
          <w:b/>
          <w:color w:val="000000"/>
          <w:sz w:val="16"/>
          <w:szCs w:val="16"/>
          <w:lang w:eastAsia="zh-TW"/>
        </w:rPr>
      </w:pPr>
    </w:p>
    <w:p w14:paraId="0D47D442" w14:textId="7C133986" w:rsidR="003B7339" w:rsidRPr="00C955AB" w:rsidRDefault="00D36216">
      <w:pPr>
        <w:spacing w:before="315" w:after="105" w:line="360" w:lineRule="auto"/>
        <w:ind w:left="-30"/>
        <w:rPr>
          <w:sz w:val="16"/>
          <w:szCs w:val="16"/>
          <w:lang w:eastAsia="zh-TW"/>
        </w:rPr>
      </w:pPr>
      <w:r>
        <w:t>业务概述</w:t>
      </w:r>
    </w:p>
    <w:p w14:paraId="17A68DF8" w14:textId="619A804D" w:rsidR="003B7339" w:rsidRPr="00B634D0" w:rsidRDefault="00B634D0">
      <w:pPr>
        <w:spacing w:after="210" w:line="360" w:lineRule="auto"/>
        <w:rPr>
          <w:i/>
          <w:iCs/>
          <w:sz w:val="16"/>
          <w:szCs w:val="16"/>
          <w:lang w:eastAsia="zh-TW"/>
        </w:rPr>
      </w:pPr>
      <w:r>
        <w:t>有助于清楚了解发行人的商业模式及成长驱动因素：</w:t>
      </w:r>
    </w:p>
    <w:p w14:paraId="6BA11A17" w14:textId="77777777" w:rsidR="003B7339" w:rsidRPr="00C955AB" w:rsidRDefault="00D36216">
      <w:pPr>
        <w:numPr>
          <w:ilvl w:val="0"/>
          <w:numId w:val="4"/>
        </w:numPr>
        <w:spacing w:before="105" w:after="105" w:line="360" w:lineRule="auto"/>
        <w:rPr>
          <w:sz w:val="16"/>
          <w:szCs w:val="16"/>
          <w:lang w:eastAsia="zh-TW"/>
        </w:rPr>
      </w:pPr>
      <w:r>
        <w:t>公司历史与关键发展里程碑。</w:t>
      </w:r>
    </w:p>
    <w:p w14:paraId="1E72CAA3" w14:textId="77777777" w:rsidR="003B7339" w:rsidRPr="00C955AB" w:rsidRDefault="00D36216">
      <w:pPr>
        <w:numPr>
          <w:ilvl w:val="0"/>
          <w:numId w:val="4"/>
        </w:numPr>
        <w:spacing w:before="105" w:after="105" w:line="360" w:lineRule="auto"/>
        <w:rPr>
          <w:sz w:val="16"/>
          <w:szCs w:val="16"/>
          <w:lang w:eastAsia="zh-TW"/>
        </w:rPr>
      </w:pPr>
      <w:r>
        <w:t>产品与服务描述、目标客户、定价模式及竞争定位。</w:t>
      </w:r>
    </w:p>
    <w:p w14:paraId="34D48072" w14:textId="77777777" w:rsidR="003B7339" w:rsidRPr="00C955AB" w:rsidRDefault="00D36216">
      <w:pPr>
        <w:numPr>
          <w:ilvl w:val="0"/>
          <w:numId w:val="4"/>
        </w:numPr>
        <w:spacing w:before="105" w:after="105" w:line="360" w:lineRule="auto"/>
        <w:rPr>
          <w:sz w:val="16"/>
          <w:szCs w:val="16"/>
          <w:lang w:eastAsia="zh-TW"/>
        </w:rPr>
      </w:pPr>
      <w:r>
        <w:t>营收模式、成本驱动因素、毛利率及主要业务部门。</w:t>
      </w:r>
    </w:p>
    <w:p w14:paraId="575055DA" w14:textId="77777777" w:rsidR="003B7339" w:rsidRPr="00C955AB" w:rsidRDefault="00D36216">
      <w:pPr>
        <w:numPr>
          <w:ilvl w:val="0"/>
          <w:numId w:val="4"/>
        </w:numPr>
        <w:spacing w:before="105" w:after="105" w:line="360" w:lineRule="auto"/>
        <w:rPr>
          <w:sz w:val="16"/>
          <w:szCs w:val="16"/>
          <w:lang w:eastAsia="zh-TW"/>
        </w:rPr>
      </w:pPr>
      <w:r>
        <w:t>依市场、办公室、生产地点、仓库及销售通路划分的地理范围。</w:t>
      </w:r>
    </w:p>
    <w:p w14:paraId="3FFA6E20" w14:textId="5C694139" w:rsidR="003B7339" w:rsidRPr="00C955AB" w:rsidRDefault="00D36216">
      <w:pPr>
        <w:numPr>
          <w:ilvl w:val="0"/>
          <w:numId w:val="4"/>
        </w:numPr>
        <w:spacing w:before="105" w:after="105" w:line="360" w:lineRule="auto"/>
        <w:rPr>
          <w:sz w:val="16"/>
          <w:szCs w:val="16"/>
          <w:lang w:eastAsia="zh-TW"/>
        </w:rPr>
      </w:pPr>
      <w:r>
        <w:t>关键客户与供应商特征、合约条款及依赖风险。</w:t>
      </w:r>
    </w:p>
    <w:p w14:paraId="055FAAFA" w14:textId="77777777" w:rsidR="003B7339" w:rsidRPr="00C955AB" w:rsidRDefault="00D36216">
      <w:pPr>
        <w:numPr>
          <w:ilvl w:val="0"/>
          <w:numId w:val="4"/>
        </w:numPr>
        <w:spacing w:before="105" w:after="105" w:line="360" w:lineRule="auto"/>
        <w:rPr>
          <w:sz w:val="16"/>
          <w:szCs w:val="16"/>
          <w:lang w:eastAsia="zh-TW"/>
        </w:rPr>
      </w:pPr>
      <w:r>
        <w:t>产业概览资料、市场研究及内部商业计划。</w:t>
      </w:r>
    </w:p>
    <w:p w14:paraId="422EFB22" w14:textId="60F8AE2F" w:rsidR="003B7339" w:rsidRPr="00C955AB" w:rsidRDefault="00D36216">
      <w:pPr>
        <w:numPr>
          <w:ilvl w:val="0"/>
          <w:numId w:val="4"/>
        </w:numPr>
        <w:spacing w:before="105" w:after="105" w:line="360" w:lineRule="auto"/>
        <w:rPr>
          <w:sz w:val="16"/>
          <w:szCs w:val="16"/>
          <w:lang w:eastAsia="zh-TW"/>
        </w:rPr>
      </w:pPr>
      <w:r>
        <w:t>管理层的股权、成长策略与投资重点。</w:t>
      </w:r>
    </w:p>
    <w:p w14:paraId="1F6517AD" w14:textId="77777777" w:rsidR="003B7339" w:rsidRPr="00C955AB" w:rsidRDefault="00D36216">
      <w:pPr>
        <w:spacing w:before="315" w:after="105" w:line="360" w:lineRule="auto"/>
        <w:ind w:left="-30"/>
        <w:rPr>
          <w:sz w:val="16"/>
          <w:szCs w:val="16"/>
          <w:lang w:eastAsia="zh-TW"/>
        </w:rPr>
      </w:pPr>
      <w:r>
        <w:t>业务流程与营运</w:t>
      </w:r>
    </w:p>
    <w:p w14:paraId="044A16E7" w14:textId="470F3723" w:rsidR="003B7339" w:rsidRPr="00B634D0" w:rsidRDefault="00B634D0">
      <w:pPr>
        <w:spacing w:after="210" w:line="360" w:lineRule="auto"/>
        <w:rPr>
          <w:i/>
          <w:iCs/>
          <w:sz w:val="16"/>
          <w:szCs w:val="16"/>
          <w:lang w:eastAsia="zh-TW"/>
        </w:rPr>
      </w:pPr>
      <w:r>
        <w:t>从头到尾，实务操作流程说明：</w:t>
      </w:r>
    </w:p>
    <w:p w14:paraId="295D413C" w14:textId="77777777" w:rsidR="003B7339" w:rsidRPr="00C955AB" w:rsidRDefault="00D36216">
      <w:pPr>
        <w:numPr>
          <w:ilvl w:val="0"/>
          <w:numId w:val="5"/>
        </w:numPr>
        <w:spacing w:before="105" w:after="105" w:line="360" w:lineRule="auto"/>
        <w:rPr>
          <w:sz w:val="16"/>
          <w:szCs w:val="16"/>
          <w:lang w:eastAsia="zh-TW"/>
        </w:rPr>
      </w:pPr>
      <w:r>
        <w:t>涵盖采购、生产或服务交付、仓储、物流、销售、帐单及现金收款的端到端业务流程图。</w:t>
      </w:r>
    </w:p>
    <w:p w14:paraId="799C5FCD" w14:textId="77777777" w:rsidR="003B7339" w:rsidRPr="00C955AB" w:rsidRDefault="00D36216">
      <w:pPr>
        <w:numPr>
          <w:ilvl w:val="0"/>
          <w:numId w:val="5"/>
        </w:numPr>
        <w:spacing w:before="105" w:after="105" w:line="360" w:lineRule="auto"/>
        <w:rPr>
          <w:sz w:val="16"/>
          <w:szCs w:val="16"/>
          <w:lang w:eastAsia="zh-TW"/>
        </w:rPr>
      </w:pPr>
      <w:r>
        <w:t>每个主要业务线的营运流程叙事。</w:t>
      </w:r>
    </w:p>
    <w:p w14:paraId="7F1446D6" w14:textId="77777777" w:rsidR="003B7339" w:rsidRPr="00C955AB" w:rsidRDefault="00D36216">
      <w:pPr>
        <w:numPr>
          <w:ilvl w:val="0"/>
          <w:numId w:val="5"/>
        </w:numPr>
        <w:spacing w:before="105" w:after="105" w:line="360" w:lineRule="auto"/>
        <w:rPr>
          <w:sz w:val="16"/>
          <w:szCs w:val="16"/>
          <w:lang w:eastAsia="zh-TW"/>
        </w:rPr>
      </w:pPr>
      <w:r>
        <w:t>依功能与地点绘制组织架构图。</w:t>
      </w:r>
    </w:p>
    <w:p w14:paraId="47EE7A40" w14:textId="77777777" w:rsidR="003B7339" w:rsidRPr="00C955AB" w:rsidRDefault="00D36216">
      <w:pPr>
        <w:numPr>
          <w:ilvl w:val="0"/>
          <w:numId w:val="5"/>
        </w:numPr>
        <w:spacing w:before="105" w:after="105" w:line="360" w:lineRule="auto"/>
        <w:rPr>
          <w:sz w:val="16"/>
          <w:szCs w:val="16"/>
          <w:lang w:eastAsia="zh-TW"/>
        </w:rPr>
      </w:pPr>
      <w:r>
        <w:t>生产能力、利用率、订单积压、季节性以及主要营运关键绩效指标（KPI）。</w:t>
      </w:r>
    </w:p>
    <w:p w14:paraId="22D4C27E" w14:textId="77777777" w:rsidR="003B7339" w:rsidRPr="00C955AB" w:rsidRDefault="00D36216">
      <w:pPr>
        <w:numPr>
          <w:ilvl w:val="0"/>
          <w:numId w:val="5"/>
        </w:numPr>
        <w:spacing w:before="105" w:after="105" w:line="360" w:lineRule="auto"/>
        <w:rPr>
          <w:sz w:val="16"/>
          <w:szCs w:val="16"/>
          <w:lang w:eastAsia="zh-TW"/>
        </w:rPr>
      </w:pPr>
      <w:r>
        <w:t>采购流程、核准供应商名单及库存管理方法。</w:t>
      </w:r>
    </w:p>
    <w:p w14:paraId="57361C10" w14:textId="77777777" w:rsidR="003B7339" w:rsidRPr="00C955AB" w:rsidRDefault="00D36216">
      <w:pPr>
        <w:numPr>
          <w:ilvl w:val="0"/>
          <w:numId w:val="5"/>
        </w:numPr>
        <w:spacing w:before="105" w:after="105" w:line="360" w:lineRule="auto"/>
        <w:rPr>
          <w:sz w:val="16"/>
          <w:szCs w:val="16"/>
          <w:lang w:eastAsia="zh-TW"/>
        </w:rPr>
      </w:pPr>
      <w:r>
        <w:t>销售周期、合约核准流程，以及售后或服务支援模式。</w:t>
      </w:r>
    </w:p>
    <w:p w14:paraId="51DF65CE" w14:textId="77777777" w:rsidR="003B7339" w:rsidRPr="00C955AB" w:rsidRDefault="00D36216">
      <w:pPr>
        <w:numPr>
          <w:ilvl w:val="0"/>
          <w:numId w:val="5"/>
        </w:numPr>
        <w:spacing w:before="105" w:after="105" w:line="360" w:lineRule="auto"/>
        <w:rPr>
          <w:sz w:val="16"/>
          <w:szCs w:val="16"/>
          <w:lang w:eastAsia="zh-TW"/>
        </w:rPr>
      </w:pPr>
      <w:r>
        <w:t>说明关键 IT 系统、ERP、CRM、财务及财务报告工具。</w:t>
      </w:r>
    </w:p>
    <w:p w14:paraId="0251816E" w14:textId="41479173" w:rsidR="003B7339" w:rsidRPr="00C955AB" w:rsidRDefault="00D36216">
      <w:pPr>
        <w:numPr>
          <w:ilvl w:val="0"/>
          <w:numId w:val="5"/>
        </w:numPr>
        <w:spacing w:before="105" w:after="105" w:line="360" w:lineRule="auto"/>
        <w:rPr>
          <w:sz w:val="16"/>
          <w:szCs w:val="16"/>
          <w:lang w:eastAsia="zh-TW"/>
        </w:rPr>
      </w:pPr>
      <w:r>
        <w:t>内部核准矩阵与职责分离框架。</w:t>
      </w:r>
    </w:p>
    <w:p w14:paraId="0BDF1A87" w14:textId="77777777" w:rsidR="003B7339" w:rsidRPr="00C955AB" w:rsidRDefault="00D36216">
      <w:pPr>
        <w:spacing w:before="315" w:after="105" w:line="360" w:lineRule="auto"/>
        <w:ind w:left="-30"/>
        <w:rPr>
          <w:sz w:val="16"/>
          <w:szCs w:val="16"/>
          <w:lang w:eastAsia="zh-TW"/>
        </w:rPr>
      </w:pPr>
      <w:r>
        <w:t>财务资讯</w:t>
      </w:r>
    </w:p>
    <w:p w14:paraId="09095E0D" w14:textId="2EC98C28" w:rsidR="003B7339" w:rsidRPr="00B634D0" w:rsidRDefault="00B634D0">
      <w:pPr>
        <w:spacing w:after="210" w:line="360" w:lineRule="auto"/>
        <w:rPr>
          <w:i/>
          <w:iCs/>
          <w:sz w:val="16"/>
          <w:szCs w:val="16"/>
          <w:lang w:eastAsia="zh-TW"/>
        </w:rPr>
      </w:pPr>
      <w:r>
        <w:t>历史及当前财务资料足以开始财务尽职调查及首次公开募股报告规划：</w:t>
      </w:r>
    </w:p>
    <w:p w14:paraId="4769DB40" w14:textId="77777777" w:rsidR="003B7339" w:rsidRPr="00C955AB" w:rsidRDefault="00D36216">
      <w:pPr>
        <w:numPr>
          <w:ilvl w:val="0"/>
          <w:numId w:val="6"/>
        </w:numPr>
        <w:spacing w:before="105" w:after="105" w:line="360" w:lineRule="auto"/>
        <w:rPr>
          <w:sz w:val="16"/>
          <w:szCs w:val="16"/>
          <w:lang w:eastAsia="zh-TW"/>
        </w:rPr>
      </w:pPr>
      <w:r>
        <w:t>至少在过去两到三个财政年度的审计财务报表。</w:t>
      </w:r>
    </w:p>
    <w:p w14:paraId="430CFC39" w14:textId="77777777" w:rsidR="003B7339" w:rsidRPr="00C955AB" w:rsidRDefault="00D36216">
      <w:pPr>
        <w:numPr>
          <w:ilvl w:val="0"/>
          <w:numId w:val="6"/>
        </w:numPr>
        <w:spacing w:before="105" w:after="105" w:line="360" w:lineRule="auto"/>
        <w:rPr>
          <w:sz w:val="16"/>
          <w:szCs w:val="16"/>
          <w:lang w:eastAsia="zh-TW"/>
        </w:rPr>
      </w:pPr>
      <w:r>
        <w:t>最新的未经审计管理帐目及年初至今财务结果。</w:t>
      </w:r>
    </w:p>
    <w:p w14:paraId="6434DEB6" w14:textId="77777777" w:rsidR="003B7339" w:rsidRPr="00C955AB" w:rsidRDefault="00D36216">
      <w:pPr>
        <w:numPr>
          <w:ilvl w:val="0"/>
          <w:numId w:val="6"/>
        </w:numPr>
        <w:spacing w:before="105" w:after="105" w:line="360" w:lineRule="auto"/>
        <w:rPr>
          <w:sz w:val="16"/>
          <w:szCs w:val="16"/>
          <w:lang w:eastAsia="zh-TW"/>
        </w:rPr>
      </w:pPr>
      <w:r>
        <w:t>每月试算表、总帐和详细的帐户清单。</w:t>
      </w:r>
    </w:p>
    <w:p w14:paraId="5B50DB4F" w14:textId="77777777" w:rsidR="003B7339" w:rsidRPr="00C955AB" w:rsidRDefault="00D36216">
      <w:pPr>
        <w:numPr>
          <w:ilvl w:val="0"/>
          <w:numId w:val="6"/>
        </w:numPr>
        <w:spacing w:before="105" w:after="105" w:line="360" w:lineRule="auto"/>
        <w:rPr>
          <w:sz w:val="16"/>
          <w:szCs w:val="16"/>
          <w:lang w:eastAsia="zh-TW"/>
        </w:rPr>
      </w:pPr>
      <w:r>
        <w:t>依产品、地域、通路、客户及法人实体进行营收分析。</w:t>
      </w:r>
    </w:p>
    <w:p w14:paraId="47FA54D1" w14:textId="77777777" w:rsidR="003B7339" w:rsidRPr="00C955AB" w:rsidRDefault="00D36216">
      <w:pPr>
        <w:numPr>
          <w:ilvl w:val="0"/>
          <w:numId w:val="6"/>
        </w:numPr>
        <w:spacing w:before="105" w:after="105" w:line="360" w:lineRule="auto"/>
        <w:rPr>
          <w:sz w:val="16"/>
          <w:szCs w:val="16"/>
          <w:lang w:eastAsia="zh-TW"/>
        </w:rPr>
      </w:pPr>
      <w:r>
        <w:t>毛利、营运费用、EBITDA、营运资金、现金流及债务摘要。</w:t>
      </w:r>
    </w:p>
    <w:p w14:paraId="6994BE13" w14:textId="77777777" w:rsidR="003B7339" w:rsidRPr="00C955AB" w:rsidRDefault="00D36216">
      <w:pPr>
        <w:numPr>
          <w:ilvl w:val="0"/>
          <w:numId w:val="6"/>
        </w:numPr>
        <w:spacing w:before="105" w:after="105" w:line="360" w:lineRule="auto"/>
        <w:rPr>
          <w:sz w:val="16"/>
          <w:szCs w:val="16"/>
          <w:lang w:eastAsia="zh-TW"/>
        </w:rPr>
      </w:pPr>
      <w:r>
        <w:t>非重复项目、公允价值调整、相关方余额及异常交易详情。</w:t>
      </w:r>
    </w:p>
    <w:p w14:paraId="0A4CCB2D" w14:textId="77777777" w:rsidR="003B7339" w:rsidRPr="00C955AB" w:rsidRDefault="00D36216">
      <w:pPr>
        <w:numPr>
          <w:ilvl w:val="0"/>
          <w:numId w:val="6"/>
        </w:numPr>
        <w:spacing w:before="105" w:after="105" w:line="360" w:lineRule="auto"/>
        <w:rPr>
          <w:sz w:val="16"/>
          <w:szCs w:val="16"/>
          <w:lang w:eastAsia="zh-TW"/>
        </w:rPr>
      </w:pPr>
      <w:r>
        <w:t>银行便利协议、借款清单、契约计算及担保文件。</w:t>
      </w:r>
    </w:p>
    <w:p w14:paraId="3F1B42E2" w14:textId="77777777" w:rsidR="003B7339" w:rsidRPr="00C955AB" w:rsidRDefault="00D36216">
      <w:pPr>
        <w:numPr>
          <w:ilvl w:val="0"/>
          <w:numId w:val="6"/>
        </w:numPr>
        <w:spacing w:before="105" w:after="105" w:line="360" w:lineRule="auto"/>
        <w:rPr>
          <w:sz w:val="16"/>
          <w:szCs w:val="16"/>
          <w:lang w:eastAsia="zh-TW"/>
        </w:rPr>
      </w:pPr>
      <w:r>
        <w:t>固定资产登记、存货时节、应收帐款时效、应付帐款时日及准备金表。</w:t>
      </w:r>
    </w:p>
    <w:p w14:paraId="13E1A129" w14:textId="23A981C2" w:rsidR="003B7339" w:rsidRPr="00C955AB" w:rsidRDefault="00D36216">
      <w:pPr>
        <w:numPr>
          <w:ilvl w:val="0"/>
          <w:numId w:val="6"/>
        </w:numPr>
        <w:spacing w:before="105" w:after="105" w:line="360" w:lineRule="auto"/>
        <w:rPr>
          <w:sz w:val="16"/>
          <w:szCs w:val="16"/>
          <w:lang w:eastAsia="zh-TW"/>
        </w:rPr>
      </w:pPr>
      <w:r>
        <w:t>预测、预算、董事会核准的商业计划，以及管理假设。</w:t>
      </w:r>
    </w:p>
    <w:p w14:paraId="51F05931" w14:textId="7A530409" w:rsidR="003B7339" w:rsidRPr="00C955AB" w:rsidRDefault="00D36216" w:rsidP="009B44F1">
      <w:pPr>
        <w:spacing w:before="315" w:after="105" w:line="360" w:lineRule="auto"/>
        <w:rPr>
          <w:sz w:val="16"/>
          <w:szCs w:val="16"/>
          <w:lang w:eastAsia="zh-TW"/>
        </w:rPr>
      </w:pPr>
      <w:r>
        <w:t>会计与报告事项</w:t>
      </w:r>
    </w:p>
    <w:p w14:paraId="0C9A8897" w14:textId="38E0BAB8" w:rsidR="003B7339" w:rsidRPr="00B634D0" w:rsidRDefault="00B634D0">
      <w:pPr>
        <w:spacing w:after="210" w:line="360" w:lineRule="auto"/>
        <w:rPr>
          <w:i/>
          <w:iCs/>
          <w:sz w:val="16"/>
          <w:szCs w:val="16"/>
          <w:lang w:eastAsia="zh-TW"/>
        </w:rPr>
      </w:pPr>
      <w:r>
        <w:t>识别常见影响IPO准备度的报告缺口：</w:t>
      </w:r>
    </w:p>
    <w:p w14:paraId="1F76CFE4" w14:textId="77777777" w:rsidR="003B7339" w:rsidRPr="00C955AB" w:rsidRDefault="00D36216">
      <w:pPr>
        <w:numPr>
          <w:ilvl w:val="0"/>
          <w:numId w:val="7"/>
        </w:numPr>
        <w:spacing w:before="105" w:after="105" w:line="360" w:lineRule="auto"/>
        <w:rPr>
          <w:sz w:val="16"/>
          <w:szCs w:val="16"/>
          <w:lang w:eastAsia="zh-TW"/>
        </w:rPr>
      </w:pPr>
      <w:r>
        <w:t>适用的会计架构及报告变更的历史。</w:t>
      </w:r>
    </w:p>
    <w:p w14:paraId="2C1218CC" w14:textId="55AF2B9F" w:rsidR="003B7339" w:rsidRPr="00C955AB" w:rsidRDefault="00D36216">
      <w:pPr>
        <w:numPr>
          <w:ilvl w:val="0"/>
          <w:numId w:val="7"/>
        </w:numPr>
        <w:spacing w:before="105" w:after="105" w:line="360" w:lineRule="auto"/>
        <w:rPr>
          <w:sz w:val="16"/>
          <w:szCs w:val="16"/>
          <w:lang w:eastAsia="zh-TW"/>
        </w:rPr>
      </w:pPr>
      <w:r>
        <w:t>会计政策及重要的判断或估算。</w:t>
      </w:r>
    </w:p>
    <w:p w14:paraId="4D4E2213" w14:textId="77777777" w:rsidR="003B7339" w:rsidRPr="00C955AB" w:rsidRDefault="00D36216">
      <w:pPr>
        <w:numPr>
          <w:ilvl w:val="0"/>
          <w:numId w:val="7"/>
        </w:numPr>
        <w:spacing w:before="105" w:after="105" w:line="360" w:lineRule="auto"/>
        <w:rPr>
          <w:sz w:val="16"/>
          <w:szCs w:val="16"/>
          <w:lang w:eastAsia="zh-TW"/>
        </w:rPr>
      </w:pPr>
      <w:r>
        <w:t>先前的审计管理信函、控制观察纪录及整治状态。</w:t>
      </w:r>
    </w:p>
    <w:p w14:paraId="497E162F" w14:textId="77777777" w:rsidR="003B7339" w:rsidRPr="00C955AB" w:rsidRDefault="00D36216">
      <w:pPr>
        <w:numPr>
          <w:ilvl w:val="0"/>
          <w:numId w:val="7"/>
        </w:numPr>
        <w:spacing w:before="105" w:after="105" w:line="360" w:lineRule="auto"/>
        <w:rPr>
          <w:sz w:val="16"/>
          <w:szCs w:val="16"/>
          <w:lang w:eastAsia="zh-TW"/>
        </w:rPr>
      </w:pPr>
      <w:r>
        <w:t>重述、前期调整、资格问题或未解决的技术会计事项的细节。</w:t>
      </w:r>
    </w:p>
    <w:p w14:paraId="0525D667" w14:textId="77777777" w:rsidR="003B7339" w:rsidRPr="00C955AB" w:rsidRDefault="00D36216">
      <w:pPr>
        <w:numPr>
          <w:ilvl w:val="0"/>
          <w:numId w:val="7"/>
        </w:numPr>
        <w:spacing w:before="105" w:after="105" w:line="360" w:lineRule="auto"/>
        <w:rPr>
          <w:sz w:val="16"/>
          <w:szCs w:val="16"/>
          <w:lang w:eastAsia="zh-TW"/>
        </w:rPr>
      </w:pPr>
      <w:r>
        <w:t>整合作业、跨公司消除流程及报告套件范本。</w:t>
      </w:r>
    </w:p>
    <w:p w14:paraId="179EF248" w14:textId="77777777" w:rsidR="003B7339" w:rsidRPr="00C955AB" w:rsidRDefault="00D36216">
      <w:pPr>
        <w:numPr>
          <w:ilvl w:val="0"/>
          <w:numId w:val="7"/>
        </w:numPr>
        <w:spacing w:before="105" w:after="105" w:line="360" w:lineRule="auto"/>
        <w:rPr>
          <w:sz w:val="16"/>
          <w:szCs w:val="16"/>
          <w:lang w:eastAsia="zh-TW"/>
        </w:rPr>
      </w:pPr>
      <w:r>
        <w:t>月底和年底的交割时间表与职责。</w:t>
      </w:r>
    </w:p>
    <w:p w14:paraId="47C164DC" w14:textId="5344E34A" w:rsidR="003B7339" w:rsidRPr="00C955AB" w:rsidRDefault="00D36216">
      <w:pPr>
        <w:numPr>
          <w:ilvl w:val="0"/>
          <w:numId w:val="7"/>
        </w:numPr>
        <w:spacing w:before="105" w:after="105" w:line="360" w:lineRule="auto"/>
        <w:rPr>
          <w:sz w:val="16"/>
          <w:szCs w:val="16"/>
          <w:lang w:eastAsia="zh-TW"/>
        </w:rPr>
      </w:pPr>
      <w:r>
        <w:t>准备财务资料、部门报告及上市公司揭露要求。</w:t>
      </w:r>
    </w:p>
    <w:p w14:paraId="6147284F" w14:textId="77777777" w:rsidR="003B7339" w:rsidRPr="00C955AB" w:rsidRDefault="00D36216">
      <w:pPr>
        <w:spacing w:before="315" w:after="105" w:line="360" w:lineRule="auto"/>
        <w:ind w:left="-30"/>
        <w:rPr>
          <w:sz w:val="16"/>
          <w:szCs w:val="16"/>
          <w:lang w:eastAsia="zh-TW"/>
        </w:rPr>
      </w:pPr>
      <w:r>
        <w:t>税务事务</w:t>
      </w:r>
    </w:p>
    <w:p w14:paraId="01E2371E" w14:textId="51154C13" w:rsidR="003B7339" w:rsidRPr="00B634D0" w:rsidRDefault="00B634D0">
      <w:pPr>
        <w:spacing w:after="210" w:line="360" w:lineRule="auto"/>
        <w:rPr>
          <w:i/>
          <w:iCs/>
          <w:sz w:val="16"/>
          <w:szCs w:val="16"/>
          <w:lang w:eastAsia="zh-TW"/>
        </w:rPr>
      </w:pPr>
      <w:r>
        <w:t>税务纪录应尽早处理，因为税务重组与风险审查常影响时间表与清单结构：</w:t>
      </w:r>
    </w:p>
    <w:p w14:paraId="5E693A43" w14:textId="77777777" w:rsidR="003B7339" w:rsidRPr="00C955AB" w:rsidRDefault="00D36216">
      <w:pPr>
        <w:numPr>
          <w:ilvl w:val="0"/>
          <w:numId w:val="8"/>
        </w:numPr>
        <w:spacing w:before="105" w:after="105" w:line="360" w:lineRule="auto"/>
        <w:rPr>
          <w:sz w:val="16"/>
          <w:szCs w:val="16"/>
          <w:lang w:eastAsia="zh-TW"/>
        </w:rPr>
      </w:pPr>
      <w:r>
        <w:t>涵盖所有主要司法管辖区的报税资料，包括利润税、公司所得税、增值税/GST、薪资税及预扣税。</w:t>
      </w:r>
    </w:p>
    <w:p w14:paraId="05ECF74F" w14:textId="77777777" w:rsidR="003B7339" w:rsidRPr="00C955AB" w:rsidRDefault="00D36216">
      <w:pPr>
        <w:numPr>
          <w:ilvl w:val="0"/>
          <w:numId w:val="8"/>
        </w:numPr>
        <w:spacing w:before="105" w:after="105" w:line="360" w:lineRule="auto"/>
        <w:rPr>
          <w:sz w:val="16"/>
          <w:szCs w:val="16"/>
          <w:lang w:eastAsia="zh-TW"/>
        </w:rPr>
      </w:pPr>
      <w:r>
        <w:t>税务计算、评估、与税务机关的函件，以及未决的审计或争议。</w:t>
      </w:r>
    </w:p>
    <w:p w14:paraId="6ED84971" w14:textId="77777777" w:rsidR="003B7339" w:rsidRPr="00C955AB" w:rsidRDefault="00D36216">
      <w:pPr>
        <w:numPr>
          <w:ilvl w:val="0"/>
          <w:numId w:val="8"/>
        </w:numPr>
        <w:spacing w:before="105" w:after="105" w:line="360" w:lineRule="auto"/>
        <w:rPr>
          <w:sz w:val="16"/>
          <w:szCs w:val="16"/>
          <w:lang w:eastAsia="zh-TW"/>
        </w:rPr>
      </w:pPr>
      <w:r>
        <w:t>税务优惠、结转亏损、递延税款及转让定价政策的详细资讯。</w:t>
      </w:r>
    </w:p>
    <w:p w14:paraId="7A8679A5" w14:textId="77777777" w:rsidR="003B7339" w:rsidRPr="00C955AB" w:rsidRDefault="00D36216">
      <w:pPr>
        <w:numPr>
          <w:ilvl w:val="0"/>
          <w:numId w:val="8"/>
        </w:numPr>
        <w:spacing w:before="105" w:after="105" w:line="360" w:lineRule="auto"/>
        <w:rPr>
          <w:sz w:val="16"/>
          <w:szCs w:val="16"/>
          <w:lang w:eastAsia="zh-TW"/>
        </w:rPr>
      </w:pPr>
      <w:r>
        <w:t>公司间服务安排、权利金安排、融资流及管理费用。</w:t>
      </w:r>
    </w:p>
    <w:p w14:paraId="13F5AA0D" w14:textId="384D4B38" w:rsidR="003B7339" w:rsidRPr="00C955AB" w:rsidRDefault="00D36216">
      <w:pPr>
        <w:numPr>
          <w:ilvl w:val="0"/>
          <w:numId w:val="8"/>
        </w:numPr>
        <w:spacing w:before="105" w:after="105" w:line="360" w:lineRule="auto"/>
        <w:rPr>
          <w:sz w:val="16"/>
          <w:szCs w:val="16"/>
          <w:lang w:eastAsia="zh-TW"/>
        </w:rPr>
      </w:pPr>
      <w:r>
        <w:t>任何已知的历史税务风险、不确定的税务状况或与重组相关的税务风险。</w:t>
      </w:r>
    </w:p>
    <w:p w14:paraId="528978FB" w14:textId="77777777" w:rsidR="003B7339" w:rsidRPr="00C955AB" w:rsidRDefault="00D36216">
      <w:pPr>
        <w:spacing w:before="315" w:after="105" w:line="360" w:lineRule="auto"/>
        <w:ind w:left="-30"/>
        <w:rPr>
          <w:sz w:val="16"/>
          <w:szCs w:val="16"/>
          <w:lang w:eastAsia="zh-TW"/>
        </w:rPr>
      </w:pPr>
      <w:r>
        <w:t>法律与监管文件</w:t>
      </w:r>
    </w:p>
    <w:p w14:paraId="7EF3213A" w14:textId="59577521" w:rsidR="003B7339" w:rsidRPr="00B634D0" w:rsidRDefault="00B634D0">
      <w:pPr>
        <w:spacing w:after="210" w:line="360" w:lineRule="auto"/>
        <w:rPr>
          <w:i/>
          <w:iCs/>
          <w:sz w:val="16"/>
          <w:szCs w:val="16"/>
          <w:lang w:eastAsia="zh-TW"/>
        </w:rPr>
      </w:pPr>
      <w:r>
        <w:t>支持法律尽职调查及招股说明书揭露起草的核心法律包：</w:t>
      </w:r>
    </w:p>
    <w:p w14:paraId="504EAB6D" w14:textId="77777777" w:rsidR="003B7339" w:rsidRPr="00C955AB" w:rsidRDefault="00D36216">
      <w:pPr>
        <w:numPr>
          <w:ilvl w:val="0"/>
          <w:numId w:val="9"/>
        </w:numPr>
        <w:spacing w:before="105" w:after="105" w:line="360" w:lineRule="auto"/>
        <w:rPr>
          <w:sz w:val="16"/>
          <w:szCs w:val="16"/>
          <w:lang w:eastAsia="zh-TW"/>
        </w:rPr>
      </w:pPr>
      <w:r>
        <w:t>包括重大客户合约、供应商合约、分销协议及框架协议。</w:t>
      </w:r>
    </w:p>
    <w:p w14:paraId="75134A17" w14:textId="77777777" w:rsidR="003B7339" w:rsidRPr="00C955AB" w:rsidRDefault="00D36216">
      <w:pPr>
        <w:numPr>
          <w:ilvl w:val="0"/>
          <w:numId w:val="9"/>
        </w:numPr>
        <w:spacing w:before="105" w:after="105" w:line="360" w:lineRule="auto"/>
        <w:rPr>
          <w:sz w:val="16"/>
          <w:szCs w:val="16"/>
          <w:lang w:eastAsia="zh-TW"/>
        </w:rPr>
      </w:pPr>
      <w:r>
        <w:t>贷款协议、担保文件、担保、赔偿及资产负债表外安排。</w:t>
      </w:r>
    </w:p>
    <w:p w14:paraId="000E37DD" w14:textId="77777777" w:rsidR="003B7339" w:rsidRPr="00C955AB" w:rsidRDefault="00D36216">
      <w:pPr>
        <w:numPr>
          <w:ilvl w:val="0"/>
          <w:numId w:val="9"/>
        </w:numPr>
        <w:spacing w:before="105" w:after="105" w:line="360" w:lineRule="auto"/>
        <w:rPr>
          <w:sz w:val="16"/>
          <w:szCs w:val="16"/>
          <w:lang w:eastAsia="zh-TW"/>
        </w:rPr>
      </w:pPr>
      <w:r>
        <w:t>办公室、工厂、仓库及员工住宿的租赁合约。</w:t>
      </w:r>
    </w:p>
    <w:p w14:paraId="3C81D527" w14:textId="77777777" w:rsidR="003B7339" w:rsidRPr="00C955AB" w:rsidRDefault="00D36216">
      <w:pPr>
        <w:numPr>
          <w:ilvl w:val="0"/>
          <w:numId w:val="9"/>
        </w:numPr>
        <w:spacing w:before="105" w:after="105" w:line="360" w:lineRule="auto"/>
        <w:rPr>
          <w:sz w:val="16"/>
          <w:szCs w:val="16"/>
          <w:lang w:eastAsia="zh-TW"/>
        </w:rPr>
      </w:pPr>
      <w:r>
        <w:t>主要的执照、许可、核准、认证及合规纪录。</w:t>
      </w:r>
    </w:p>
    <w:p w14:paraId="5BDB1807" w14:textId="77777777" w:rsidR="003B7339" w:rsidRPr="00C955AB" w:rsidRDefault="00D36216">
      <w:pPr>
        <w:numPr>
          <w:ilvl w:val="0"/>
          <w:numId w:val="9"/>
        </w:numPr>
        <w:spacing w:before="105" w:after="105" w:line="360" w:lineRule="auto"/>
        <w:rPr>
          <w:sz w:val="16"/>
          <w:szCs w:val="16"/>
          <w:lang w:eastAsia="zh-TW"/>
        </w:rPr>
      </w:pPr>
      <w:r>
        <w:t>诉讼、仲裁、调查、申诉、索赔及和解文件。</w:t>
      </w:r>
    </w:p>
    <w:p w14:paraId="7F35AA5E" w14:textId="77777777" w:rsidR="003B7339" w:rsidRPr="00C955AB" w:rsidRDefault="00D36216">
      <w:pPr>
        <w:numPr>
          <w:ilvl w:val="0"/>
          <w:numId w:val="9"/>
        </w:numPr>
        <w:spacing w:before="105" w:after="105" w:line="360" w:lineRule="auto"/>
        <w:rPr>
          <w:sz w:val="16"/>
          <w:szCs w:val="16"/>
        </w:rPr>
      </w:pPr>
      <w:r>
        <w:t>保险政策与理赔纪录。</w:t>
      </w:r>
    </w:p>
    <w:p w14:paraId="48D5D295" w14:textId="5139E936" w:rsidR="003B7339" w:rsidRPr="00C955AB" w:rsidRDefault="00D36216">
      <w:pPr>
        <w:numPr>
          <w:ilvl w:val="0"/>
          <w:numId w:val="9"/>
        </w:numPr>
        <w:spacing w:before="105" w:after="105" w:line="360" w:lineRule="auto"/>
        <w:rPr>
          <w:sz w:val="16"/>
          <w:szCs w:val="16"/>
          <w:lang w:eastAsia="zh-TW"/>
        </w:rPr>
      </w:pPr>
      <w:r>
        <w:t>财产清单，包括商标、专利、著作权、网域名称、软体授权及所有权证据。</w:t>
      </w:r>
    </w:p>
    <w:p w14:paraId="4DFC7079" w14:textId="6DD501CB" w:rsidR="003B7339" w:rsidRPr="00C955AB" w:rsidRDefault="00D36216">
      <w:pPr>
        <w:numPr>
          <w:ilvl w:val="0"/>
          <w:numId w:val="9"/>
        </w:numPr>
        <w:spacing w:before="105" w:after="105" w:line="360" w:lineRule="auto"/>
        <w:rPr>
          <w:sz w:val="16"/>
          <w:szCs w:val="16"/>
          <w:lang w:eastAsia="zh-TW"/>
        </w:rPr>
      </w:pPr>
      <w:r>
        <w:t>资料隐私、网路安全及相关法规合规政策。</w:t>
      </w:r>
    </w:p>
    <w:p w14:paraId="27DC4583" w14:textId="77777777" w:rsidR="00F3024D" w:rsidRDefault="00F3024D">
      <w:pPr>
        <w:spacing w:before="315" w:after="105" w:line="360" w:lineRule="auto"/>
        <w:ind w:left="-30"/>
        <w:rPr>
          <w:rFonts w:eastAsia="Georgia" w:hAnsi="Georgia" w:cs="Georgia"/>
          <w:b/>
          <w:color w:val="000000"/>
          <w:sz w:val="16"/>
          <w:szCs w:val="16"/>
          <w:lang w:eastAsia="zh-TW"/>
        </w:rPr>
      </w:pPr>
      <w:bookmarkStart w:id="10" w:name="related_parties_and_connected_matters"/>
    </w:p>
    <w:p w14:paraId="29E7997C" w14:textId="77777777" w:rsidR="00F3024D" w:rsidRDefault="00F3024D">
      <w:pPr>
        <w:spacing w:before="315" w:after="105" w:line="360" w:lineRule="auto"/>
        <w:ind w:left="-30"/>
        <w:rPr>
          <w:rFonts w:eastAsia="Georgia" w:hAnsi="Georgia" w:cs="Georgia"/>
          <w:b/>
          <w:color w:val="000000"/>
          <w:sz w:val="16"/>
          <w:szCs w:val="16"/>
          <w:lang w:eastAsia="zh-TW"/>
        </w:rPr>
      </w:pPr>
    </w:p>
    <w:p w14:paraId="2832FEBA" w14:textId="77777777" w:rsidR="00F3024D" w:rsidRDefault="00F3024D">
      <w:pPr>
        <w:spacing w:before="315" w:after="105" w:line="360" w:lineRule="auto"/>
        <w:ind w:left="-30"/>
        <w:rPr>
          <w:rFonts w:eastAsia="Georgia" w:hAnsi="Georgia" w:cs="Georgia"/>
          <w:b/>
          <w:color w:val="000000"/>
          <w:sz w:val="16"/>
          <w:szCs w:val="16"/>
          <w:lang w:eastAsia="zh-TW"/>
        </w:rPr>
      </w:pPr>
    </w:p>
    <w:p w14:paraId="6873C3B2" w14:textId="34F7F9B2" w:rsidR="003B7339" w:rsidRPr="00C955AB" w:rsidRDefault="00D36216">
      <w:pPr>
        <w:spacing w:before="315" w:after="105" w:line="360" w:lineRule="auto"/>
        <w:ind w:left="-30"/>
        <w:rPr>
          <w:sz w:val="16"/>
          <w:szCs w:val="16"/>
          <w:lang w:eastAsia="zh-TW"/>
        </w:rPr>
      </w:pPr>
      <w:r>
        <w:t>相关当事人及相关事项</w:t>
      </w:r>
    </w:p>
    <w:p w14:paraId="3C277987" w14:textId="18B08066" w:rsidR="003B7339" w:rsidRPr="00C66587" w:rsidRDefault="00B634D0">
      <w:pPr>
        <w:spacing w:after="210" w:line="360" w:lineRule="auto"/>
        <w:rPr>
          <w:i/>
          <w:iCs/>
          <w:sz w:val="16"/>
          <w:szCs w:val="16"/>
          <w:lang w:eastAsia="zh-TW"/>
        </w:rPr>
      </w:pPr>
      <w:r>
        <w:t>相关当事人安排在登记工作中受到严格审查：</w:t>
      </w:r>
    </w:p>
    <w:p w14:paraId="516DFF2B" w14:textId="77777777" w:rsidR="003B7339" w:rsidRPr="00C955AB" w:rsidRDefault="00D36216">
      <w:pPr>
        <w:numPr>
          <w:ilvl w:val="0"/>
          <w:numId w:val="10"/>
        </w:numPr>
        <w:spacing w:before="105" w:after="105" w:line="360" w:lineRule="auto"/>
        <w:rPr>
          <w:sz w:val="16"/>
          <w:szCs w:val="16"/>
          <w:lang w:eastAsia="zh-TW"/>
        </w:rPr>
      </w:pPr>
      <w:r>
        <w:t>完整董事名单、主要管理层、创办人、主要股东及其相关实体。</w:t>
      </w:r>
    </w:p>
    <w:p w14:paraId="03E2E745" w14:textId="77777777" w:rsidR="003B7339" w:rsidRPr="00C955AB" w:rsidRDefault="00D36216">
      <w:pPr>
        <w:numPr>
          <w:ilvl w:val="0"/>
          <w:numId w:val="10"/>
        </w:numPr>
        <w:spacing w:before="105" w:after="105" w:line="360" w:lineRule="auto"/>
        <w:rPr>
          <w:sz w:val="16"/>
          <w:szCs w:val="16"/>
          <w:lang w:eastAsia="zh-TW"/>
        </w:rPr>
      </w:pPr>
      <w:r>
        <w:t>历史纪录期间的相关方交易时程。</w:t>
      </w:r>
    </w:p>
    <w:p w14:paraId="32CF02F5" w14:textId="77777777" w:rsidR="003B7339" w:rsidRPr="00C955AB" w:rsidRDefault="00D36216">
      <w:pPr>
        <w:numPr>
          <w:ilvl w:val="0"/>
          <w:numId w:val="10"/>
        </w:numPr>
        <w:spacing w:before="105" w:after="105" w:line="360" w:lineRule="auto"/>
        <w:rPr>
          <w:sz w:val="16"/>
          <w:szCs w:val="16"/>
          <w:lang w:eastAsia="zh-TW"/>
        </w:rPr>
      </w:pPr>
      <w:r>
        <w:t>未清余额、贷款、担保、质押及非公平交易安排。</w:t>
      </w:r>
    </w:p>
    <w:p w14:paraId="4AB13005" w14:textId="77777777" w:rsidR="003B7339" w:rsidRPr="00C955AB" w:rsidRDefault="00D36216">
      <w:pPr>
        <w:numPr>
          <w:ilvl w:val="0"/>
          <w:numId w:val="10"/>
        </w:numPr>
        <w:spacing w:before="105" w:after="105" w:line="360" w:lineRule="auto"/>
        <w:rPr>
          <w:sz w:val="16"/>
          <w:szCs w:val="16"/>
          <w:lang w:eastAsia="zh-TW"/>
        </w:rPr>
      </w:pPr>
      <w:r>
        <w:t>现有的持续连通交易或反复发生的关联方安排。</w:t>
      </w:r>
    </w:p>
    <w:p w14:paraId="0A8C0071" w14:textId="3EA7E859" w:rsidR="003B7339" w:rsidRPr="00C955AB" w:rsidRDefault="00D36216">
      <w:pPr>
        <w:numPr>
          <w:ilvl w:val="0"/>
          <w:numId w:val="10"/>
        </w:numPr>
        <w:spacing w:before="105" w:after="105" w:line="360" w:lineRule="auto"/>
        <w:rPr>
          <w:sz w:val="16"/>
          <w:szCs w:val="16"/>
        </w:rPr>
      </w:pPr>
      <w:r>
        <w:t>上市前的清理建议。</w:t>
      </w:r>
    </w:p>
    <w:p w14:paraId="37F9B39C" w14:textId="77777777" w:rsidR="003B7339" w:rsidRPr="00C955AB" w:rsidRDefault="00D36216">
      <w:pPr>
        <w:spacing w:before="315" w:after="105" w:line="360" w:lineRule="auto"/>
        <w:ind w:left="-30"/>
        <w:rPr>
          <w:sz w:val="16"/>
          <w:szCs w:val="16"/>
        </w:rPr>
      </w:pPr>
      <w:r>
        <w:t>人力资源与管理</w:t>
      </w:r>
    </w:p>
    <w:p w14:paraId="016C493C" w14:textId="18245287" w:rsidR="003B7339" w:rsidRPr="00B634D0" w:rsidRDefault="00B634D0">
      <w:pPr>
        <w:spacing w:after="210" w:line="360" w:lineRule="auto"/>
        <w:rPr>
          <w:i/>
          <w:iCs/>
          <w:sz w:val="16"/>
          <w:szCs w:val="16"/>
          <w:lang w:eastAsia="zh-TW"/>
        </w:rPr>
      </w:pPr>
      <w:r>
        <w:t>评估管理持续性、合规性及奖励安排的资讯：</w:t>
      </w:r>
    </w:p>
    <w:p w14:paraId="324222F1" w14:textId="77777777" w:rsidR="003B7339" w:rsidRPr="00C955AB" w:rsidRDefault="00D36216">
      <w:pPr>
        <w:numPr>
          <w:ilvl w:val="0"/>
          <w:numId w:val="11"/>
        </w:numPr>
        <w:spacing w:before="105" w:after="105" w:line="360" w:lineRule="auto"/>
        <w:rPr>
          <w:sz w:val="16"/>
          <w:szCs w:val="16"/>
          <w:lang w:eastAsia="zh-TW"/>
        </w:rPr>
      </w:pPr>
      <w:r>
        <w:t>依职能、实体及管辖区编制组织架构与编制。</w:t>
      </w:r>
    </w:p>
    <w:p w14:paraId="2E434E78" w14:textId="77777777" w:rsidR="003B7339" w:rsidRPr="00C955AB" w:rsidRDefault="00D36216">
      <w:pPr>
        <w:numPr>
          <w:ilvl w:val="0"/>
          <w:numId w:val="11"/>
        </w:numPr>
        <w:spacing w:before="105" w:after="105" w:line="360" w:lineRule="auto"/>
        <w:rPr>
          <w:sz w:val="16"/>
          <w:szCs w:val="16"/>
          <w:lang w:eastAsia="zh-TW"/>
        </w:rPr>
      </w:pPr>
      <w:r>
        <w:t>董事、高阶管理人员及关键技术人员的个人档案与履历。</w:t>
      </w:r>
    </w:p>
    <w:p w14:paraId="67262B8B" w14:textId="77777777" w:rsidR="003B7339" w:rsidRPr="00C955AB" w:rsidRDefault="00D36216">
      <w:pPr>
        <w:numPr>
          <w:ilvl w:val="0"/>
          <w:numId w:val="11"/>
        </w:numPr>
        <w:spacing w:before="105" w:after="105" w:line="360" w:lineRule="auto"/>
        <w:rPr>
          <w:sz w:val="16"/>
          <w:szCs w:val="16"/>
          <w:lang w:eastAsia="zh-TW"/>
        </w:rPr>
      </w:pPr>
      <w:r>
        <w:t>关键员工的聘用合约、服务协议、保密协议及竞业禁止安排。</w:t>
      </w:r>
    </w:p>
    <w:p w14:paraId="3E6162CD" w14:textId="77777777" w:rsidR="003B7339" w:rsidRPr="00C955AB" w:rsidRDefault="00D36216">
      <w:pPr>
        <w:numPr>
          <w:ilvl w:val="0"/>
          <w:numId w:val="11"/>
        </w:numPr>
        <w:spacing w:before="105" w:after="105" w:line="360" w:lineRule="auto"/>
        <w:rPr>
          <w:sz w:val="16"/>
          <w:szCs w:val="16"/>
          <w:lang w:eastAsia="zh-TW"/>
        </w:rPr>
      </w:pPr>
      <w:r>
        <w:t>员工手册、人资政策、薪酬结构、奖金计划及佣金计划。</w:t>
      </w:r>
    </w:p>
    <w:p w14:paraId="391838D3" w14:textId="77777777" w:rsidR="003B7339" w:rsidRPr="00C955AB" w:rsidRDefault="00D36216">
      <w:pPr>
        <w:numPr>
          <w:ilvl w:val="0"/>
          <w:numId w:val="11"/>
        </w:numPr>
        <w:spacing w:before="105" w:after="105" w:line="360" w:lineRule="auto"/>
        <w:rPr>
          <w:sz w:val="16"/>
          <w:szCs w:val="16"/>
          <w:lang w:eastAsia="zh-TW"/>
        </w:rPr>
      </w:pPr>
      <w:r>
        <w:t>退休金、社会安全、MPF及其他法定就业合规纪录。</w:t>
      </w:r>
    </w:p>
    <w:p w14:paraId="7148D522" w14:textId="13984166" w:rsidR="003B7339" w:rsidRPr="00C955AB" w:rsidRDefault="00D36216">
      <w:pPr>
        <w:numPr>
          <w:ilvl w:val="0"/>
          <w:numId w:val="11"/>
        </w:numPr>
        <w:spacing w:before="105" w:after="105" w:line="360" w:lineRule="auto"/>
        <w:rPr>
          <w:sz w:val="16"/>
          <w:szCs w:val="16"/>
          <w:lang w:eastAsia="zh-TW"/>
        </w:rPr>
      </w:pPr>
      <w:r>
        <w:t>劳资纠纷、法规罚款或重大员工流动问题的纪录。</w:t>
      </w:r>
    </w:p>
    <w:p w14:paraId="12257B6E" w14:textId="77777777" w:rsidR="003B7339" w:rsidRPr="00C955AB" w:rsidRDefault="00D36216">
      <w:pPr>
        <w:spacing w:before="315" w:after="105" w:line="360" w:lineRule="auto"/>
        <w:ind w:left="-30"/>
        <w:rPr>
          <w:sz w:val="16"/>
          <w:szCs w:val="16"/>
          <w:lang w:eastAsia="zh-TW"/>
        </w:rPr>
      </w:pPr>
      <w:r>
        <w:t>治理与内部控制</w:t>
      </w:r>
    </w:p>
    <w:p w14:paraId="42FCEB06" w14:textId="3EDDA749" w:rsidR="003B7339" w:rsidRPr="000B1210" w:rsidRDefault="00D36216">
      <w:pPr>
        <w:spacing w:after="210" w:line="360" w:lineRule="auto"/>
        <w:rPr>
          <w:i/>
          <w:iCs/>
          <w:sz w:val="16"/>
          <w:szCs w:val="16"/>
          <w:lang w:eastAsia="zh-TW"/>
        </w:rPr>
      </w:pPr>
      <w:r>
        <w:t>公开市场准备度高度依赖治理成熟度与内部控制品质：</w:t>
      </w:r>
    </w:p>
    <w:p w14:paraId="7BD12AA1" w14:textId="77777777" w:rsidR="003B7339" w:rsidRPr="00C955AB" w:rsidRDefault="00D36216">
      <w:pPr>
        <w:numPr>
          <w:ilvl w:val="0"/>
          <w:numId w:val="12"/>
        </w:numPr>
        <w:spacing w:before="105" w:after="105" w:line="360" w:lineRule="auto"/>
        <w:rPr>
          <w:sz w:val="16"/>
          <w:szCs w:val="16"/>
          <w:lang w:eastAsia="zh-TW"/>
        </w:rPr>
      </w:pPr>
      <w:r>
        <w:t>现行董事会架构、委员会架构及委员会职权范围。</w:t>
      </w:r>
    </w:p>
    <w:p w14:paraId="225D6072" w14:textId="77777777" w:rsidR="003B7339" w:rsidRPr="00C955AB" w:rsidRDefault="00D36216">
      <w:pPr>
        <w:numPr>
          <w:ilvl w:val="0"/>
          <w:numId w:val="12"/>
        </w:numPr>
        <w:spacing w:before="105" w:after="105" w:line="360" w:lineRule="auto"/>
        <w:rPr>
          <w:sz w:val="16"/>
          <w:szCs w:val="16"/>
          <w:lang w:eastAsia="zh-TW"/>
        </w:rPr>
      </w:pPr>
      <w:r>
        <w:t>现有的治理政策，包括核准、授权、反贿赂、吹哨、内幕消息及文件保存。</w:t>
      </w:r>
    </w:p>
    <w:p w14:paraId="7349B5ED" w14:textId="77777777" w:rsidR="003B7339" w:rsidRPr="00C955AB" w:rsidRDefault="00D36216">
      <w:pPr>
        <w:numPr>
          <w:ilvl w:val="0"/>
          <w:numId w:val="12"/>
        </w:numPr>
        <w:spacing w:before="105" w:after="105" w:line="360" w:lineRule="auto"/>
        <w:rPr>
          <w:sz w:val="16"/>
          <w:szCs w:val="16"/>
          <w:lang w:eastAsia="zh-TW"/>
        </w:rPr>
      </w:pPr>
      <w:r>
        <w:t>内部控制手册、风险登记册、内部稽核报告及整治计划。</w:t>
      </w:r>
    </w:p>
    <w:p w14:paraId="6DD52DFF" w14:textId="77777777" w:rsidR="003B7339" w:rsidRPr="00C955AB" w:rsidRDefault="00D36216">
      <w:pPr>
        <w:numPr>
          <w:ilvl w:val="0"/>
          <w:numId w:val="12"/>
        </w:numPr>
        <w:spacing w:before="105" w:after="105" w:line="360" w:lineRule="auto"/>
        <w:rPr>
          <w:sz w:val="16"/>
          <w:szCs w:val="16"/>
          <w:lang w:eastAsia="zh-TW"/>
        </w:rPr>
      </w:pPr>
      <w:r>
        <w:t>诈骗事件、合规违规、资安事件及纠正措施。</w:t>
      </w:r>
    </w:p>
    <w:p w14:paraId="265274DE" w14:textId="6D516469" w:rsidR="003B7339" w:rsidRPr="00C955AB" w:rsidRDefault="00D36216">
      <w:pPr>
        <w:numPr>
          <w:ilvl w:val="0"/>
          <w:numId w:val="12"/>
        </w:numPr>
        <w:spacing w:before="105" w:after="105" w:line="360" w:lineRule="auto"/>
        <w:rPr>
          <w:sz w:val="16"/>
          <w:szCs w:val="16"/>
          <w:lang w:eastAsia="zh-TW"/>
        </w:rPr>
      </w:pPr>
      <w:r>
        <w:t>ESG或永续政策、报告实务，以及重大环境或社会风险。</w:t>
      </w:r>
    </w:p>
    <w:p w14:paraId="445A2B69" w14:textId="77777777" w:rsidR="003B7339" w:rsidRPr="00C955AB" w:rsidRDefault="00D36216">
      <w:pPr>
        <w:spacing w:before="315" w:after="105" w:line="360" w:lineRule="auto"/>
        <w:ind w:left="-30"/>
        <w:rPr>
          <w:sz w:val="16"/>
          <w:szCs w:val="16"/>
          <w:lang w:eastAsia="zh-TW"/>
        </w:rPr>
      </w:pPr>
      <w:r>
        <w:t>财产与资产</w:t>
      </w:r>
    </w:p>
    <w:p w14:paraId="52402EEA" w14:textId="77777777" w:rsidR="003B7339" w:rsidRPr="000B1210" w:rsidRDefault="00D36216">
      <w:pPr>
        <w:spacing w:after="210" w:line="360" w:lineRule="auto"/>
        <w:rPr>
          <w:i/>
          <w:iCs/>
          <w:sz w:val="16"/>
          <w:szCs w:val="16"/>
          <w:lang w:eastAsia="zh-TW"/>
        </w:rPr>
      </w:pPr>
      <w:r>
        <w:t>请求支援主要作战资产与财产权：</w:t>
      </w:r>
    </w:p>
    <w:p w14:paraId="0354A3B3" w14:textId="77777777" w:rsidR="003B7339" w:rsidRPr="00C955AB" w:rsidRDefault="00D36216">
      <w:pPr>
        <w:numPr>
          <w:ilvl w:val="0"/>
          <w:numId w:val="13"/>
        </w:numPr>
        <w:spacing w:before="105" w:after="105" w:line="360" w:lineRule="auto"/>
        <w:rPr>
          <w:sz w:val="16"/>
          <w:szCs w:val="16"/>
          <w:lang w:eastAsia="zh-TW"/>
        </w:rPr>
      </w:pPr>
      <w:r>
        <w:t>如有，请提供财产所有权文件、土地使用权、产权文件及估价报告。</w:t>
      </w:r>
    </w:p>
    <w:p w14:paraId="6118B196" w14:textId="77777777" w:rsidR="003B7339" w:rsidRPr="00C955AB" w:rsidRDefault="00D36216">
      <w:pPr>
        <w:numPr>
          <w:ilvl w:val="0"/>
          <w:numId w:val="13"/>
        </w:numPr>
        <w:spacing w:before="105" w:after="105" w:line="360" w:lineRule="auto"/>
        <w:rPr>
          <w:sz w:val="16"/>
          <w:szCs w:val="16"/>
          <w:lang w:eastAsia="zh-TW"/>
        </w:rPr>
      </w:pPr>
      <w:r>
        <w:t>租约时间表与入住详情。</w:t>
      </w:r>
    </w:p>
    <w:p w14:paraId="0B61C41B" w14:textId="77777777" w:rsidR="003B7339" w:rsidRPr="00C955AB" w:rsidRDefault="00D36216">
      <w:pPr>
        <w:numPr>
          <w:ilvl w:val="0"/>
          <w:numId w:val="13"/>
        </w:numPr>
        <w:spacing w:before="105" w:after="105" w:line="360" w:lineRule="auto"/>
        <w:rPr>
          <w:sz w:val="16"/>
          <w:szCs w:val="16"/>
          <w:lang w:eastAsia="zh-TW"/>
        </w:rPr>
      </w:pPr>
      <w:r>
        <w:t>设备与机械清单、资产登记册、资本支出计划及维护纪录。</w:t>
      </w:r>
    </w:p>
    <w:p w14:paraId="40ACE68C" w14:textId="69C69B72" w:rsidR="003B7339" w:rsidRPr="00C955AB" w:rsidRDefault="00D36216">
      <w:pPr>
        <w:numPr>
          <w:ilvl w:val="0"/>
          <w:numId w:val="13"/>
        </w:numPr>
        <w:spacing w:before="105" w:after="105" w:line="360" w:lineRule="auto"/>
        <w:rPr>
          <w:sz w:val="16"/>
          <w:szCs w:val="16"/>
          <w:lang w:eastAsia="zh-TW"/>
        </w:rPr>
      </w:pPr>
      <w:r>
        <w:t>抵押资产的详细资料、产权限制或负担。</w:t>
      </w:r>
    </w:p>
    <w:p w14:paraId="399D0B75" w14:textId="77777777" w:rsidR="00F3024D" w:rsidRDefault="00F3024D">
      <w:pPr>
        <w:spacing w:before="315" w:after="105" w:line="360" w:lineRule="auto"/>
        <w:ind w:left="-30"/>
        <w:rPr>
          <w:rFonts w:eastAsia="Georgia" w:hAnsi="Georgia" w:cs="Georgia"/>
          <w:b/>
          <w:color w:val="000000"/>
          <w:sz w:val="16"/>
          <w:szCs w:val="16"/>
          <w:lang w:eastAsia="zh-TW"/>
        </w:rPr>
      </w:pPr>
      <w:bookmarkStart w:id="14" w:name="forecasting_and_use_of_proceeds"/>
    </w:p>
    <w:p w14:paraId="44155F2D" w14:textId="4762EFF9" w:rsidR="003B7339" w:rsidRPr="00C955AB" w:rsidRDefault="00D36216">
      <w:pPr>
        <w:spacing w:before="315" w:after="105" w:line="360" w:lineRule="auto"/>
        <w:ind w:left="-30"/>
        <w:rPr>
          <w:sz w:val="16"/>
          <w:szCs w:val="16"/>
          <w:lang w:eastAsia="zh-TW"/>
        </w:rPr>
      </w:pPr>
      <w:r>
        <w:t>收益的预测与运用</w:t>
      </w:r>
    </w:p>
    <w:p w14:paraId="02F124C8" w14:textId="07146E88" w:rsidR="003B7339" w:rsidRPr="000B1210" w:rsidRDefault="00D36216">
      <w:pPr>
        <w:spacing w:after="210" w:line="360" w:lineRule="auto"/>
        <w:rPr>
          <w:i/>
          <w:iCs/>
          <w:sz w:val="16"/>
          <w:szCs w:val="16"/>
          <w:lang w:eastAsia="zh-TW"/>
        </w:rPr>
      </w:pPr>
      <w:r>
        <w:t>对于支持规划、草拟及投资人讯息传递：</w:t>
      </w:r>
    </w:p>
    <w:p w14:paraId="781CC18D" w14:textId="77777777" w:rsidR="003B7339" w:rsidRPr="00C955AB" w:rsidRDefault="00D36216">
      <w:pPr>
        <w:numPr>
          <w:ilvl w:val="0"/>
          <w:numId w:val="14"/>
        </w:numPr>
        <w:spacing w:before="105" w:after="105" w:line="360" w:lineRule="auto"/>
        <w:rPr>
          <w:sz w:val="16"/>
          <w:szCs w:val="16"/>
          <w:lang w:eastAsia="zh-TW"/>
        </w:rPr>
      </w:pPr>
      <w:r>
        <w:t>详细的财务预测模型，并附有假设。</w:t>
      </w:r>
    </w:p>
    <w:p w14:paraId="023A4793" w14:textId="77777777" w:rsidR="003B7339" w:rsidRPr="00C955AB" w:rsidRDefault="00D36216">
      <w:pPr>
        <w:numPr>
          <w:ilvl w:val="0"/>
          <w:numId w:val="14"/>
        </w:numPr>
        <w:spacing w:before="105" w:after="105" w:line="360" w:lineRule="auto"/>
        <w:rPr>
          <w:sz w:val="16"/>
          <w:szCs w:val="16"/>
          <w:lang w:eastAsia="zh-TW"/>
        </w:rPr>
      </w:pPr>
      <w:r>
        <w:t>营收桥梁、利润假设、资本支出计划、招聘计划及营运资金需求。</w:t>
      </w:r>
    </w:p>
    <w:p w14:paraId="10D8747F" w14:textId="77777777" w:rsidR="003B7339" w:rsidRPr="00C955AB" w:rsidRDefault="00D36216">
      <w:pPr>
        <w:numPr>
          <w:ilvl w:val="0"/>
          <w:numId w:val="14"/>
        </w:numPr>
        <w:spacing w:before="105" w:after="105" w:line="360" w:lineRule="auto"/>
        <w:rPr>
          <w:sz w:val="16"/>
          <w:szCs w:val="16"/>
          <w:lang w:eastAsia="zh-TW"/>
        </w:rPr>
      </w:pPr>
      <w:r>
        <w:t>资金需求分析与债务偿还意图。</w:t>
      </w:r>
    </w:p>
    <w:p w14:paraId="5AF9F86A" w14:textId="77777777" w:rsidR="003B7339" w:rsidRPr="00C955AB" w:rsidRDefault="00D36216">
      <w:pPr>
        <w:numPr>
          <w:ilvl w:val="0"/>
          <w:numId w:val="14"/>
        </w:numPr>
        <w:spacing w:before="105" w:after="105" w:line="360" w:lineRule="auto"/>
        <w:rPr>
          <w:sz w:val="16"/>
          <w:szCs w:val="16"/>
          <w:lang w:eastAsia="zh-TW"/>
        </w:rPr>
      </w:pPr>
      <w:r>
        <w:t>按类别分配收益的草案使用。</w:t>
      </w:r>
    </w:p>
    <w:p w14:paraId="42BBE7E7" w14:textId="1D043F0B" w:rsidR="003B7339" w:rsidRPr="00C955AB" w:rsidRDefault="00D36216">
      <w:pPr>
        <w:numPr>
          <w:ilvl w:val="0"/>
          <w:numId w:val="14"/>
        </w:numPr>
        <w:spacing w:before="105" w:after="105" w:line="360" w:lineRule="auto"/>
        <w:rPr>
          <w:sz w:val="16"/>
          <w:szCs w:val="16"/>
          <w:lang w:eastAsia="zh-TW"/>
        </w:rPr>
      </w:pPr>
      <w:r>
        <w:t>关键敏感点、缺点案例及企业应变计划。</w:t>
      </w:r>
    </w:p>
    <w:p w14:paraId="3DBC6A40" w14:textId="77CE6F4F" w:rsidR="003B7339" w:rsidRPr="00F11484" w:rsidRDefault="00F11484">
      <w:pPr>
        <w:spacing w:before="315" w:after="105" w:line="360" w:lineRule="auto"/>
        <w:ind w:left="-30"/>
        <w:rPr>
          <w:sz w:val="16"/>
          <w:szCs w:val="16"/>
          <w:lang w:val="en-HK" w:eastAsia="zh-TW"/>
        </w:rPr>
      </w:pPr>
      <w:r>
        <w:t>问题调查</w:t>
      </w:r>
    </w:p>
    <w:p w14:paraId="0044F138" w14:textId="77777777" w:rsidR="003B7339" w:rsidRPr="00EC4272" w:rsidRDefault="00D36216">
      <w:pPr>
        <w:spacing w:after="210" w:line="360" w:lineRule="auto"/>
        <w:rPr>
          <w:i/>
          <w:iCs/>
          <w:sz w:val="16"/>
          <w:szCs w:val="16"/>
          <w:lang w:eastAsia="zh-TW"/>
        </w:rPr>
      </w:pPr>
      <w:r>
        <w:t>启动时，请管理层标示任何可能影响时间、估值、适任性或揭露的问题：</w:t>
      </w:r>
    </w:p>
    <w:p w14:paraId="6FE6AE42" w14:textId="77777777" w:rsidR="003B7339" w:rsidRPr="00C955AB" w:rsidRDefault="00D36216">
      <w:pPr>
        <w:numPr>
          <w:ilvl w:val="0"/>
          <w:numId w:val="15"/>
        </w:numPr>
        <w:spacing w:before="105" w:after="105" w:line="360" w:lineRule="auto"/>
        <w:rPr>
          <w:sz w:val="16"/>
          <w:szCs w:val="16"/>
          <w:lang w:eastAsia="zh-TW"/>
        </w:rPr>
      </w:pPr>
      <w:r>
        <w:t>无执照营业活动或法规不合规。</w:t>
      </w:r>
    </w:p>
    <w:p w14:paraId="7FB80DAA" w14:textId="77777777" w:rsidR="003B7339" w:rsidRPr="00C955AB" w:rsidRDefault="00D36216">
      <w:pPr>
        <w:numPr>
          <w:ilvl w:val="0"/>
          <w:numId w:val="15"/>
        </w:numPr>
        <w:spacing w:before="105" w:after="105" w:line="360" w:lineRule="auto"/>
        <w:rPr>
          <w:sz w:val="16"/>
          <w:szCs w:val="16"/>
          <w:lang w:eastAsia="zh-TW"/>
        </w:rPr>
      </w:pPr>
      <w:r>
        <w:t>历史财务纪录薄弱或缺乏支持文件。</w:t>
      </w:r>
    </w:p>
    <w:p w14:paraId="52F12C5E" w14:textId="77777777" w:rsidR="003B7339" w:rsidRPr="00C955AB" w:rsidRDefault="00D36216">
      <w:pPr>
        <w:numPr>
          <w:ilvl w:val="0"/>
          <w:numId w:val="15"/>
        </w:numPr>
        <w:spacing w:before="105" w:after="105" w:line="360" w:lineRule="auto"/>
        <w:rPr>
          <w:sz w:val="16"/>
          <w:szCs w:val="16"/>
          <w:lang w:eastAsia="zh-TW"/>
        </w:rPr>
      </w:pPr>
      <w:r>
        <w:t>重大的客户或供应商依赖性。</w:t>
      </w:r>
    </w:p>
    <w:p w14:paraId="093FE480" w14:textId="77777777" w:rsidR="003B7339" w:rsidRPr="00C955AB" w:rsidRDefault="00D36216">
      <w:pPr>
        <w:numPr>
          <w:ilvl w:val="0"/>
          <w:numId w:val="15"/>
        </w:numPr>
        <w:spacing w:before="105" w:after="105" w:line="360" w:lineRule="auto"/>
        <w:rPr>
          <w:sz w:val="16"/>
          <w:szCs w:val="16"/>
          <w:lang w:eastAsia="zh-TW"/>
        </w:rPr>
      </w:pPr>
      <w:r>
        <w:t>创办人或股东间持续的争议。</w:t>
      </w:r>
    </w:p>
    <w:p w14:paraId="732DA783" w14:textId="77777777" w:rsidR="003B7339" w:rsidRPr="00C955AB" w:rsidRDefault="00D36216">
      <w:pPr>
        <w:numPr>
          <w:ilvl w:val="0"/>
          <w:numId w:val="15"/>
        </w:numPr>
        <w:spacing w:before="105" w:after="105" w:line="360" w:lineRule="auto"/>
        <w:rPr>
          <w:sz w:val="16"/>
          <w:szCs w:val="16"/>
          <w:lang w:eastAsia="zh-TW"/>
        </w:rPr>
      </w:pPr>
      <w:r>
        <w:t>复杂的离岸结构或不明确的实益所有权。</w:t>
      </w:r>
    </w:p>
    <w:p w14:paraId="39804274" w14:textId="77777777" w:rsidR="003B7339" w:rsidRPr="00C955AB" w:rsidRDefault="00D36216">
      <w:pPr>
        <w:numPr>
          <w:ilvl w:val="0"/>
          <w:numId w:val="15"/>
        </w:numPr>
        <w:spacing w:before="105" w:after="105" w:line="360" w:lineRule="auto"/>
        <w:rPr>
          <w:sz w:val="16"/>
          <w:szCs w:val="16"/>
          <w:lang w:eastAsia="zh-TW"/>
        </w:rPr>
      </w:pPr>
      <w:r>
        <w:t>透过企业进行重大的相关当事人交易或个人支出。</w:t>
      </w:r>
    </w:p>
    <w:p w14:paraId="08822B58" w14:textId="77777777" w:rsidR="003B7339" w:rsidRPr="00C955AB" w:rsidRDefault="00D36216">
      <w:pPr>
        <w:numPr>
          <w:ilvl w:val="0"/>
          <w:numId w:val="15"/>
        </w:numPr>
        <w:spacing w:before="105" w:after="105" w:line="360" w:lineRule="auto"/>
        <w:rPr>
          <w:sz w:val="16"/>
          <w:szCs w:val="16"/>
          <w:lang w:eastAsia="zh-TW"/>
        </w:rPr>
      </w:pPr>
      <w:r>
        <w:t>税务风险、劳工不合规或产权缺陷。</w:t>
      </w:r>
    </w:p>
    <w:p w14:paraId="04C58239" w14:textId="21098FCB" w:rsidR="003B7339" w:rsidRPr="00C955AB" w:rsidRDefault="00D36216">
      <w:pPr>
        <w:numPr>
          <w:ilvl w:val="0"/>
          <w:numId w:val="15"/>
        </w:numPr>
        <w:spacing w:before="105" w:after="105" w:line="360" w:lineRule="auto"/>
        <w:rPr>
          <w:sz w:val="16"/>
          <w:szCs w:val="16"/>
          <w:lang w:eastAsia="zh-TW"/>
        </w:rPr>
      </w:pPr>
      <w:r>
        <w:t>内部控制弱点或管理报告不可靠。</w:t>
      </w:r>
    </w:p>
    <w:p w14:paraId="2821817A" w14:textId="03841BD4" w:rsidR="003B7339" w:rsidRPr="00C955AB" w:rsidRDefault="00D36216">
      <w:pPr>
        <w:spacing w:before="315" w:after="105" w:line="360" w:lineRule="auto"/>
        <w:ind w:left="-30"/>
        <w:rPr>
          <w:sz w:val="16"/>
          <w:szCs w:val="16"/>
          <w:lang w:eastAsia="zh-TW"/>
        </w:rPr>
      </w:pPr>
      <w:r>
        <w:t>建议首批交付成果</w:t>
      </w:r>
    </w:p>
    <w:p w14:paraId="2870E4B6" w14:textId="09C41CF9" w:rsidR="003B7339" w:rsidRPr="00A53266" w:rsidRDefault="00D36216">
      <w:pPr>
        <w:spacing w:after="210" w:line="360" w:lineRule="auto"/>
        <w:rPr>
          <w:i/>
          <w:iCs/>
          <w:sz w:val="16"/>
          <w:szCs w:val="16"/>
          <w:lang w:eastAsia="zh-TW"/>
        </w:rPr>
      </w:pPr>
      <w:r>
        <w:t>实务起步包通常包含以下内容，通常足以开始差距评估与工作规划：</w:t>
      </w:r>
    </w:p>
    <w:p w14:paraId="0E02E739" w14:textId="030D6C2C" w:rsidR="003B7339" w:rsidRPr="00C955AB" w:rsidRDefault="00D36216">
      <w:pPr>
        <w:numPr>
          <w:ilvl w:val="0"/>
          <w:numId w:val="16"/>
        </w:numPr>
        <w:spacing w:before="105" w:after="105" w:line="360" w:lineRule="auto"/>
        <w:rPr>
          <w:sz w:val="16"/>
          <w:szCs w:val="16"/>
          <w:lang w:eastAsia="zh-TW"/>
        </w:rPr>
      </w:pPr>
      <w:r>
        <w:t>结构图与资本化表。</w:t>
      </w:r>
    </w:p>
    <w:p w14:paraId="206D25AA" w14:textId="77777777" w:rsidR="003B7339" w:rsidRPr="00C955AB" w:rsidRDefault="00D36216">
      <w:pPr>
        <w:numPr>
          <w:ilvl w:val="0"/>
          <w:numId w:val="16"/>
        </w:numPr>
        <w:spacing w:before="105" w:after="105" w:line="360" w:lineRule="auto"/>
        <w:rPr>
          <w:sz w:val="16"/>
          <w:szCs w:val="16"/>
          <w:lang w:eastAsia="zh-TW"/>
        </w:rPr>
      </w:pPr>
      <w:r>
        <w:t>最新的审计财务报表及近期管理帐目。</w:t>
      </w:r>
    </w:p>
    <w:p w14:paraId="164AA7D4" w14:textId="77777777" w:rsidR="003B7339" w:rsidRPr="00C955AB" w:rsidRDefault="00D36216">
      <w:pPr>
        <w:numPr>
          <w:ilvl w:val="0"/>
          <w:numId w:val="16"/>
        </w:numPr>
        <w:spacing w:before="105" w:after="105" w:line="360" w:lineRule="auto"/>
        <w:rPr>
          <w:sz w:val="16"/>
          <w:szCs w:val="16"/>
          <w:lang w:eastAsia="zh-TW"/>
        </w:rPr>
      </w:pPr>
      <w:r>
        <w:t>商业模式呈现与营运流程图。</w:t>
      </w:r>
    </w:p>
    <w:p w14:paraId="491524EA" w14:textId="77777777" w:rsidR="003B7339" w:rsidRPr="00C955AB" w:rsidRDefault="00D36216">
      <w:pPr>
        <w:numPr>
          <w:ilvl w:val="0"/>
          <w:numId w:val="16"/>
        </w:numPr>
        <w:spacing w:before="105" w:after="105" w:line="360" w:lineRule="auto"/>
        <w:rPr>
          <w:sz w:val="16"/>
          <w:szCs w:val="16"/>
          <w:lang w:eastAsia="zh-TW"/>
        </w:rPr>
      </w:pPr>
      <w:r>
        <w:t>以营收或支出集中度列入顶尖客户与供应商名单。</w:t>
      </w:r>
    </w:p>
    <w:p w14:paraId="4B3607FD" w14:textId="77777777" w:rsidR="003B7339" w:rsidRPr="00C955AB" w:rsidRDefault="00D36216">
      <w:pPr>
        <w:numPr>
          <w:ilvl w:val="0"/>
          <w:numId w:val="16"/>
        </w:numPr>
        <w:spacing w:before="105" w:after="105" w:line="360" w:lineRule="auto"/>
        <w:rPr>
          <w:sz w:val="16"/>
          <w:szCs w:val="16"/>
          <w:lang w:eastAsia="zh-TW"/>
        </w:rPr>
      </w:pPr>
      <w:r>
        <w:t>重要合约清单及关键协议副本。</w:t>
      </w:r>
    </w:p>
    <w:p w14:paraId="72DD4CB9" w14:textId="77777777" w:rsidR="003B7339" w:rsidRPr="00C955AB" w:rsidRDefault="00D36216">
      <w:pPr>
        <w:numPr>
          <w:ilvl w:val="0"/>
          <w:numId w:val="16"/>
        </w:numPr>
        <w:spacing w:before="105" w:after="105" w:line="360" w:lineRule="auto"/>
        <w:rPr>
          <w:sz w:val="16"/>
          <w:szCs w:val="16"/>
          <w:lang w:eastAsia="zh-TW"/>
        </w:rPr>
      </w:pPr>
      <w:r>
        <w:t>报税摘要及任何未解决争议清单。</w:t>
      </w:r>
    </w:p>
    <w:p w14:paraId="2ED550EA" w14:textId="77777777" w:rsidR="003B7339" w:rsidRPr="00C955AB" w:rsidRDefault="00D36216">
      <w:pPr>
        <w:numPr>
          <w:ilvl w:val="0"/>
          <w:numId w:val="16"/>
        </w:numPr>
        <w:spacing w:before="105" w:after="105" w:line="360" w:lineRule="auto"/>
        <w:rPr>
          <w:sz w:val="16"/>
          <w:szCs w:val="16"/>
          <w:lang w:eastAsia="zh-TW"/>
        </w:rPr>
      </w:pPr>
      <w:r>
        <w:t>诉讼清单、执照登记册及智慧财产权时程。</w:t>
      </w:r>
    </w:p>
    <w:p w14:paraId="488DF6A7" w14:textId="77777777" w:rsidR="003B7339" w:rsidRPr="00C955AB" w:rsidRDefault="00D36216">
      <w:pPr>
        <w:numPr>
          <w:ilvl w:val="0"/>
          <w:numId w:val="16"/>
        </w:numPr>
        <w:spacing w:before="105" w:after="105" w:line="360" w:lineRule="auto"/>
        <w:rPr>
          <w:sz w:val="16"/>
          <w:szCs w:val="16"/>
          <w:lang w:eastAsia="zh-TW"/>
        </w:rPr>
      </w:pPr>
      <w:r>
        <w:t>董事会与管理层名单、组织架构图及主要员工合约。</w:t>
      </w:r>
    </w:p>
    <w:p w14:paraId="093C2FC0" w14:textId="77777777" w:rsidR="003B7339" w:rsidRPr="00C955AB" w:rsidRDefault="00D36216">
      <w:pPr>
        <w:numPr>
          <w:ilvl w:val="0"/>
          <w:numId w:val="16"/>
        </w:numPr>
        <w:spacing w:before="105" w:after="105" w:line="360" w:lineRule="auto"/>
        <w:rPr>
          <w:sz w:val="16"/>
          <w:szCs w:val="16"/>
          <w:lang w:eastAsia="zh-TW"/>
        </w:rPr>
      </w:pPr>
      <w:r>
        <w:t>内部控制或稽核报告（如果有的话）。</w:t>
      </w:r>
    </w:p>
    <w:p w14:paraId="31AAB64C" w14:textId="6CD8C841" w:rsidR="00A53266" w:rsidRPr="009B44F1" w:rsidRDefault="00D36216" w:rsidP="009B44F1">
      <w:pPr>
        <w:numPr>
          <w:ilvl w:val="0"/>
          <w:numId w:val="16"/>
        </w:numPr>
        <w:spacing w:before="105" w:after="105" w:line="360" w:lineRule="auto"/>
        <w:rPr>
          <w:sz w:val="16"/>
          <w:szCs w:val="16"/>
          <w:lang w:eastAsia="zh-TW"/>
        </w:rPr>
      </w:pPr>
      <w:r>
        <w:t>预测模型及收益使用方案概要。</w:t>
      </w:r>
    </w:p>
    <w:p w14:paraId="289C4C32" w14:textId="47E463DD" w:rsidR="003B7339" w:rsidRPr="00A53266" w:rsidRDefault="00A53266">
      <w:pPr>
        <w:spacing w:after="210" w:line="360" w:lineRule="auto"/>
        <w:rPr>
          <w:sz w:val="16"/>
          <w:szCs w:val="16"/>
          <w:u w:val="single"/>
          <w:lang w:eastAsia="zh-TW"/>
        </w:rPr>
      </w:pPr>
      <w:r>
        <w:t>注意：初步审查后，我们将提供详细的后续请求。</w:t>
      </w:r>
    </w:p>
    <w:sectPr w:rsidR="003B7339" w:rsidRPr="00A53266" w:rsidSect="009B44F1">
      <w:pgSz w:w="12240" w:h="15840"/>
      <w:pgMar w:top="1135" w:right="1365" w:bottom="1365" w:left="13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微軟正黑體">
    <w:altName w:val="Microsoft JhengHei"/>
    <w:panose1 w:val="020B0604030504040204"/>
    <w:charset w:val="88"/>
    <w:family w:val="swiss"/>
    <w:pitch w:val="variable"/>
    <w:sig w:usb0="000002A7" w:usb1="28CF4400" w:usb2="00000016" w:usb3="00000000" w:csb0="00100009"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32F4C"/>
    <w:multiLevelType w:val="hybridMultilevel"/>
    <w:tmpl w:val="4BEABBC8"/>
    <w:lvl w:ilvl="0" w:tplc="57F81EE8">
      <w:start w:val="1"/>
      <w:numFmt w:val="bullet"/>
      <w:lvlText w:val=""/>
      <w:lvlJc w:val="left"/>
      <w:pPr>
        <w:tabs>
          <w:tab w:val="num" w:pos="900"/>
        </w:tabs>
        <w:ind w:left="540" w:hanging="360"/>
      </w:pPr>
      <w:rPr>
        <w:rFonts w:ascii="Symbol" w:hAnsi="Symbol" w:hint="default"/>
      </w:rPr>
    </w:lvl>
    <w:lvl w:ilvl="1" w:tplc="1D406726">
      <w:numFmt w:val="chineseCounting"/>
      <w:lvlText w:val=""/>
      <w:lvlJc w:val="left"/>
    </w:lvl>
    <w:lvl w:ilvl="2" w:tplc="A9A0E3A2">
      <w:numFmt w:val="chineseCounting"/>
      <w:lvlText w:val=""/>
      <w:lvlJc w:val="left"/>
    </w:lvl>
    <w:lvl w:ilvl="3" w:tplc="4E2C4A02">
      <w:numFmt w:val="chineseCounting"/>
      <w:lvlText w:val=""/>
      <w:lvlJc w:val="left"/>
    </w:lvl>
    <w:lvl w:ilvl="4" w:tplc="9232137E">
      <w:numFmt w:val="chineseCounting"/>
      <w:lvlText w:val=""/>
      <w:lvlJc w:val="left"/>
    </w:lvl>
    <w:lvl w:ilvl="5" w:tplc="48F8A036">
      <w:numFmt w:val="chineseCounting"/>
      <w:lvlText w:val=""/>
      <w:lvlJc w:val="left"/>
    </w:lvl>
    <w:lvl w:ilvl="6" w:tplc="E912E432">
      <w:numFmt w:val="chineseCounting"/>
      <w:lvlText w:val=""/>
      <w:lvlJc w:val="left"/>
    </w:lvl>
    <w:lvl w:ilvl="7" w:tplc="FF38A7B2">
      <w:numFmt w:val="chineseCounting"/>
      <w:lvlText w:val=""/>
      <w:lvlJc w:val="left"/>
    </w:lvl>
    <w:lvl w:ilvl="8" w:tplc="FE66285A">
      <w:numFmt w:val="chineseCounting"/>
      <w:lvlText w:val=""/>
      <w:lvlJc w:val="left"/>
    </w:lvl>
  </w:abstractNum>
  <w:abstractNum w:abstractNumId="1" w15:restartNumberingAfterBreak="0">
    <w:nsid w:val="0892696F"/>
    <w:multiLevelType w:val="hybridMultilevel"/>
    <w:tmpl w:val="1F92830A"/>
    <w:lvl w:ilvl="0" w:tplc="AC6ACE24">
      <w:start w:val="1"/>
      <w:numFmt w:val="bullet"/>
      <w:lvlText w:val=""/>
      <w:lvlJc w:val="left"/>
      <w:pPr>
        <w:tabs>
          <w:tab w:val="num" w:pos="900"/>
        </w:tabs>
        <w:ind w:left="540" w:hanging="360"/>
      </w:pPr>
      <w:rPr>
        <w:rFonts w:ascii="Symbol" w:hAnsi="Symbol" w:hint="default"/>
      </w:rPr>
    </w:lvl>
    <w:lvl w:ilvl="1" w:tplc="C2083E42">
      <w:numFmt w:val="chineseCounting"/>
      <w:lvlText w:val=""/>
      <w:lvlJc w:val="left"/>
    </w:lvl>
    <w:lvl w:ilvl="2" w:tplc="EB9A28AA">
      <w:numFmt w:val="chineseCounting"/>
      <w:lvlText w:val=""/>
      <w:lvlJc w:val="left"/>
    </w:lvl>
    <w:lvl w:ilvl="3" w:tplc="880CA7E8">
      <w:numFmt w:val="chineseCounting"/>
      <w:lvlText w:val=""/>
      <w:lvlJc w:val="left"/>
    </w:lvl>
    <w:lvl w:ilvl="4" w:tplc="2140F090">
      <w:numFmt w:val="chineseCounting"/>
      <w:lvlText w:val=""/>
      <w:lvlJc w:val="left"/>
    </w:lvl>
    <w:lvl w:ilvl="5" w:tplc="88244C8E">
      <w:numFmt w:val="chineseCounting"/>
      <w:lvlText w:val=""/>
      <w:lvlJc w:val="left"/>
    </w:lvl>
    <w:lvl w:ilvl="6" w:tplc="7452F298">
      <w:numFmt w:val="chineseCounting"/>
      <w:lvlText w:val=""/>
      <w:lvlJc w:val="left"/>
    </w:lvl>
    <w:lvl w:ilvl="7" w:tplc="430C8938">
      <w:numFmt w:val="chineseCounting"/>
      <w:lvlText w:val=""/>
      <w:lvlJc w:val="left"/>
    </w:lvl>
    <w:lvl w:ilvl="8" w:tplc="AC584B72">
      <w:numFmt w:val="chineseCounting"/>
      <w:lvlText w:val=""/>
      <w:lvlJc w:val="left"/>
    </w:lvl>
  </w:abstractNum>
  <w:abstractNum w:abstractNumId="2" w15:restartNumberingAfterBreak="0">
    <w:nsid w:val="0EC55E5B"/>
    <w:multiLevelType w:val="hybridMultilevel"/>
    <w:tmpl w:val="2E84C818"/>
    <w:lvl w:ilvl="0" w:tplc="CB88DEFE">
      <w:start w:val="1"/>
      <w:numFmt w:val="bullet"/>
      <w:lvlText w:val=""/>
      <w:lvlJc w:val="left"/>
      <w:pPr>
        <w:tabs>
          <w:tab w:val="num" w:pos="900"/>
        </w:tabs>
        <w:ind w:left="540" w:hanging="360"/>
      </w:pPr>
      <w:rPr>
        <w:rFonts w:ascii="Symbol" w:hAnsi="Symbol" w:hint="default"/>
      </w:rPr>
    </w:lvl>
    <w:lvl w:ilvl="1" w:tplc="5BA2D680">
      <w:numFmt w:val="chineseCounting"/>
      <w:lvlText w:val=""/>
      <w:lvlJc w:val="left"/>
    </w:lvl>
    <w:lvl w:ilvl="2" w:tplc="A21C7F6C">
      <w:numFmt w:val="chineseCounting"/>
      <w:lvlText w:val=""/>
      <w:lvlJc w:val="left"/>
    </w:lvl>
    <w:lvl w:ilvl="3" w:tplc="F3362220">
      <w:numFmt w:val="chineseCounting"/>
      <w:lvlText w:val=""/>
      <w:lvlJc w:val="left"/>
    </w:lvl>
    <w:lvl w:ilvl="4" w:tplc="7D8CED5A">
      <w:numFmt w:val="chineseCounting"/>
      <w:lvlText w:val=""/>
      <w:lvlJc w:val="left"/>
    </w:lvl>
    <w:lvl w:ilvl="5" w:tplc="24448BF6">
      <w:numFmt w:val="chineseCounting"/>
      <w:lvlText w:val=""/>
      <w:lvlJc w:val="left"/>
    </w:lvl>
    <w:lvl w:ilvl="6" w:tplc="E37EDBEC">
      <w:numFmt w:val="chineseCounting"/>
      <w:lvlText w:val=""/>
      <w:lvlJc w:val="left"/>
    </w:lvl>
    <w:lvl w:ilvl="7" w:tplc="A5CC1188">
      <w:numFmt w:val="chineseCounting"/>
      <w:lvlText w:val=""/>
      <w:lvlJc w:val="left"/>
    </w:lvl>
    <w:lvl w:ilvl="8" w:tplc="EC261E30">
      <w:numFmt w:val="chineseCounting"/>
      <w:lvlText w:val=""/>
      <w:lvlJc w:val="left"/>
    </w:lvl>
  </w:abstractNum>
  <w:abstractNum w:abstractNumId="3" w15:restartNumberingAfterBreak="0">
    <w:nsid w:val="14814137"/>
    <w:multiLevelType w:val="hybridMultilevel"/>
    <w:tmpl w:val="41781F70"/>
    <w:lvl w:ilvl="0" w:tplc="78B094EE">
      <w:start w:val="1"/>
      <w:numFmt w:val="bullet"/>
      <w:lvlText w:val=""/>
      <w:lvlJc w:val="left"/>
      <w:pPr>
        <w:tabs>
          <w:tab w:val="num" w:pos="900"/>
        </w:tabs>
        <w:ind w:left="540" w:hanging="360"/>
      </w:pPr>
      <w:rPr>
        <w:rFonts w:ascii="Symbol" w:hAnsi="Symbol" w:hint="default"/>
      </w:rPr>
    </w:lvl>
    <w:lvl w:ilvl="1" w:tplc="EFAC3E0C">
      <w:numFmt w:val="chineseCounting"/>
      <w:lvlText w:val=""/>
      <w:lvlJc w:val="left"/>
    </w:lvl>
    <w:lvl w:ilvl="2" w:tplc="A7D62762">
      <w:numFmt w:val="chineseCounting"/>
      <w:lvlText w:val=""/>
      <w:lvlJc w:val="left"/>
    </w:lvl>
    <w:lvl w:ilvl="3" w:tplc="2A4E6922">
      <w:numFmt w:val="chineseCounting"/>
      <w:lvlText w:val=""/>
      <w:lvlJc w:val="left"/>
    </w:lvl>
    <w:lvl w:ilvl="4" w:tplc="D8C6B942">
      <w:numFmt w:val="chineseCounting"/>
      <w:lvlText w:val=""/>
      <w:lvlJc w:val="left"/>
    </w:lvl>
    <w:lvl w:ilvl="5" w:tplc="9EA82C32">
      <w:numFmt w:val="chineseCounting"/>
      <w:lvlText w:val=""/>
      <w:lvlJc w:val="left"/>
    </w:lvl>
    <w:lvl w:ilvl="6" w:tplc="F500AF9E">
      <w:numFmt w:val="chineseCounting"/>
      <w:lvlText w:val=""/>
      <w:lvlJc w:val="left"/>
    </w:lvl>
    <w:lvl w:ilvl="7" w:tplc="B7523A40">
      <w:numFmt w:val="chineseCounting"/>
      <w:lvlText w:val=""/>
      <w:lvlJc w:val="left"/>
    </w:lvl>
    <w:lvl w:ilvl="8" w:tplc="0DB89E8A">
      <w:numFmt w:val="chineseCounting"/>
      <w:lvlText w:val=""/>
      <w:lvlJc w:val="left"/>
    </w:lvl>
  </w:abstractNum>
  <w:abstractNum w:abstractNumId="4" w15:restartNumberingAfterBreak="0">
    <w:nsid w:val="1B472E4D"/>
    <w:multiLevelType w:val="hybridMultilevel"/>
    <w:tmpl w:val="F28C645C"/>
    <w:lvl w:ilvl="0" w:tplc="78443CFC">
      <w:start w:val="1"/>
      <w:numFmt w:val="bullet"/>
      <w:lvlText w:val=""/>
      <w:lvlJc w:val="left"/>
      <w:pPr>
        <w:tabs>
          <w:tab w:val="num" w:pos="900"/>
        </w:tabs>
        <w:ind w:left="540" w:hanging="360"/>
      </w:pPr>
      <w:rPr>
        <w:rFonts w:ascii="Symbol" w:hAnsi="Symbol" w:hint="default"/>
      </w:rPr>
    </w:lvl>
    <w:lvl w:ilvl="1" w:tplc="1AA8F230">
      <w:numFmt w:val="chineseCounting"/>
      <w:lvlText w:val=""/>
      <w:lvlJc w:val="left"/>
    </w:lvl>
    <w:lvl w:ilvl="2" w:tplc="BD42035E">
      <w:numFmt w:val="chineseCounting"/>
      <w:lvlText w:val=""/>
      <w:lvlJc w:val="left"/>
    </w:lvl>
    <w:lvl w:ilvl="3" w:tplc="A7CA7B4A">
      <w:numFmt w:val="chineseCounting"/>
      <w:lvlText w:val=""/>
      <w:lvlJc w:val="left"/>
    </w:lvl>
    <w:lvl w:ilvl="4" w:tplc="692AD1E4">
      <w:numFmt w:val="chineseCounting"/>
      <w:lvlText w:val=""/>
      <w:lvlJc w:val="left"/>
    </w:lvl>
    <w:lvl w:ilvl="5" w:tplc="A23C751C">
      <w:numFmt w:val="chineseCounting"/>
      <w:lvlText w:val=""/>
      <w:lvlJc w:val="left"/>
    </w:lvl>
    <w:lvl w:ilvl="6" w:tplc="3BCAFE3A">
      <w:numFmt w:val="chineseCounting"/>
      <w:lvlText w:val=""/>
      <w:lvlJc w:val="left"/>
    </w:lvl>
    <w:lvl w:ilvl="7" w:tplc="C33C594C">
      <w:numFmt w:val="chineseCounting"/>
      <w:lvlText w:val=""/>
      <w:lvlJc w:val="left"/>
    </w:lvl>
    <w:lvl w:ilvl="8" w:tplc="0FD0FB6A">
      <w:numFmt w:val="chineseCounting"/>
      <w:lvlText w:val=""/>
      <w:lvlJc w:val="left"/>
    </w:lvl>
  </w:abstractNum>
  <w:abstractNum w:abstractNumId="5" w15:restartNumberingAfterBreak="0">
    <w:nsid w:val="1FE66D61"/>
    <w:multiLevelType w:val="hybridMultilevel"/>
    <w:tmpl w:val="D02010C2"/>
    <w:lvl w:ilvl="0" w:tplc="47201062">
      <w:start w:val="1"/>
      <w:numFmt w:val="bullet"/>
      <w:lvlText w:val=""/>
      <w:lvlJc w:val="left"/>
      <w:pPr>
        <w:tabs>
          <w:tab w:val="num" w:pos="900"/>
        </w:tabs>
        <w:ind w:left="540" w:hanging="360"/>
      </w:pPr>
      <w:rPr>
        <w:rFonts w:ascii="Symbol" w:hAnsi="Symbol" w:hint="default"/>
      </w:rPr>
    </w:lvl>
    <w:lvl w:ilvl="1" w:tplc="C7CA06A8">
      <w:numFmt w:val="chineseCounting"/>
      <w:lvlText w:val=""/>
      <w:lvlJc w:val="left"/>
    </w:lvl>
    <w:lvl w:ilvl="2" w:tplc="D37E222E">
      <w:numFmt w:val="chineseCounting"/>
      <w:lvlText w:val=""/>
      <w:lvlJc w:val="left"/>
    </w:lvl>
    <w:lvl w:ilvl="3" w:tplc="B9D491D2">
      <w:numFmt w:val="chineseCounting"/>
      <w:lvlText w:val=""/>
      <w:lvlJc w:val="left"/>
    </w:lvl>
    <w:lvl w:ilvl="4" w:tplc="CC567A5C">
      <w:numFmt w:val="chineseCounting"/>
      <w:lvlText w:val=""/>
      <w:lvlJc w:val="left"/>
    </w:lvl>
    <w:lvl w:ilvl="5" w:tplc="7F3EF19E">
      <w:numFmt w:val="chineseCounting"/>
      <w:lvlText w:val=""/>
      <w:lvlJc w:val="left"/>
    </w:lvl>
    <w:lvl w:ilvl="6" w:tplc="D6D0854E">
      <w:numFmt w:val="chineseCounting"/>
      <w:lvlText w:val=""/>
      <w:lvlJc w:val="left"/>
    </w:lvl>
    <w:lvl w:ilvl="7" w:tplc="A60EF75E">
      <w:numFmt w:val="chineseCounting"/>
      <w:lvlText w:val=""/>
      <w:lvlJc w:val="left"/>
    </w:lvl>
    <w:lvl w:ilvl="8" w:tplc="9E1AEF46">
      <w:numFmt w:val="chineseCounting"/>
      <w:lvlText w:val=""/>
      <w:lvlJc w:val="left"/>
    </w:lvl>
  </w:abstractNum>
  <w:abstractNum w:abstractNumId="6" w15:restartNumberingAfterBreak="0">
    <w:nsid w:val="2560074C"/>
    <w:multiLevelType w:val="hybridMultilevel"/>
    <w:tmpl w:val="3026ACA2"/>
    <w:lvl w:ilvl="0" w:tplc="6EA4065A">
      <w:start w:val="1"/>
      <w:numFmt w:val="bullet"/>
      <w:lvlText w:val=""/>
      <w:lvlJc w:val="left"/>
      <w:pPr>
        <w:tabs>
          <w:tab w:val="num" w:pos="900"/>
        </w:tabs>
        <w:ind w:left="540" w:hanging="360"/>
      </w:pPr>
      <w:rPr>
        <w:rFonts w:ascii="Symbol" w:hAnsi="Symbol" w:hint="default"/>
      </w:rPr>
    </w:lvl>
    <w:lvl w:ilvl="1" w:tplc="EABCBD6E">
      <w:numFmt w:val="chineseCounting"/>
      <w:lvlText w:val=""/>
      <w:lvlJc w:val="left"/>
    </w:lvl>
    <w:lvl w:ilvl="2" w:tplc="C5FE5C16">
      <w:numFmt w:val="chineseCounting"/>
      <w:lvlText w:val=""/>
      <w:lvlJc w:val="left"/>
    </w:lvl>
    <w:lvl w:ilvl="3" w:tplc="0F0C9CE6">
      <w:numFmt w:val="chineseCounting"/>
      <w:lvlText w:val=""/>
      <w:lvlJc w:val="left"/>
    </w:lvl>
    <w:lvl w:ilvl="4" w:tplc="9174B146">
      <w:numFmt w:val="chineseCounting"/>
      <w:lvlText w:val=""/>
      <w:lvlJc w:val="left"/>
    </w:lvl>
    <w:lvl w:ilvl="5" w:tplc="56C2E54E">
      <w:numFmt w:val="chineseCounting"/>
      <w:lvlText w:val=""/>
      <w:lvlJc w:val="left"/>
    </w:lvl>
    <w:lvl w:ilvl="6" w:tplc="847E4C6C">
      <w:numFmt w:val="chineseCounting"/>
      <w:lvlText w:val=""/>
      <w:lvlJc w:val="left"/>
    </w:lvl>
    <w:lvl w:ilvl="7" w:tplc="271E0D3C">
      <w:numFmt w:val="chineseCounting"/>
      <w:lvlText w:val=""/>
      <w:lvlJc w:val="left"/>
    </w:lvl>
    <w:lvl w:ilvl="8" w:tplc="0472D814">
      <w:numFmt w:val="chineseCounting"/>
      <w:lvlText w:val=""/>
      <w:lvlJc w:val="left"/>
    </w:lvl>
  </w:abstractNum>
  <w:abstractNum w:abstractNumId="7" w15:restartNumberingAfterBreak="0">
    <w:nsid w:val="2A857094"/>
    <w:multiLevelType w:val="hybridMultilevel"/>
    <w:tmpl w:val="360CE300"/>
    <w:lvl w:ilvl="0" w:tplc="12C68104">
      <w:start w:val="1"/>
      <w:numFmt w:val="bullet"/>
      <w:lvlText w:val=""/>
      <w:lvlJc w:val="left"/>
      <w:pPr>
        <w:tabs>
          <w:tab w:val="num" w:pos="900"/>
        </w:tabs>
        <w:ind w:left="540" w:hanging="360"/>
      </w:pPr>
      <w:rPr>
        <w:rFonts w:ascii="Symbol" w:hAnsi="Symbol" w:hint="default"/>
      </w:rPr>
    </w:lvl>
    <w:lvl w:ilvl="1" w:tplc="F2924EF4">
      <w:numFmt w:val="chineseCounting"/>
      <w:lvlText w:val=""/>
      <w:lvlJc w:val="left"/>
    </w:lvl>
    <w:lvl w:ilvl="2" w:tplc="727676F8">
      <w:numFmt w:val="chineseCounting"/>
      <w:lvlText w:val=""/>
      <w:lvlJc w:val="left"/>
    </w:lvl>
    <w:lvl w:ilvl="3" w:tplc="A52C1194">
      <w:numFmt w:val="chineseCounting"/>
      <w:lvlText w:val=""/>
      <w:lvlJc w:val="left"/>
    </w:lvl>
    <w:lvl w:ilvl="4" w:tplc="B08A0D10">
      <w:numFmt w:val="chineseCounting"/>
      <w:lvlText w:val=""/>
      <w:lvlJc w:val="left"/>
    </w:lvl>
    <w:lvl w:ilvl="5" w:tplc="99E805FA">
      <w:numFmt w:val="chineseCounting"/>
      <w:lvlText w:val=""/>
      <w:lvlJc w:val="left"/>
    </w:lvl>
    <w:lvl w:ilvl="6" w:tplc="8BC2064E">
      <w:numFmt w:val="chineseCounting"/>
      <w:lvlText w:val=""/>
      <w:lvlJc w:val="left"/>
    </w:lvl>
    <w:lvl w:ilvl="7" w:tplc="4B38F2AE">
      <w:numFmt w:val="chineseCounting"/>
      <w:lvlText w:val=""/>
      <w:lvlJc w:val="left"/>
    </w:lvl>
    <w:lvl w:ilvl="8" w:tplc="7F567800">
      <w:numFmt w:val="chineseCounting"/>
      <w:lvlText w:val=""/>
      <w:lvlJc w:val="left"/>
    </w:lvl>
  </w:abstractNum>
  <w:abstractNum w:abstractNumId="8" w15:restartNumberingAfterBreak="0">
    <w:nsid w:val="313B66A6"/>
    <w:multiLevelType w:val="hybridMultilevel"/>
    <w:tmpl w:val="78BE6C9A"/>
    <w:lvl w:ilvl="0" w:tplc="CAC6A168">
      <w:start w:val="1"/>
      <w:numFmt w:val="bullet"/>
      <w:lvlText w:val=""/>
      <w:lvlJc w:val="left"/>
      <w:pPr>
        <w:tabs>
          <w:tab w:val="num" w:pos="900"/>
        </w:tabs>
        <w:ind w:left="540" w:hanging="360"/>
      </w:pPr>
      <w:rPr>
        <w:rFonts w:ascii="Symbol" w:hAnsi="Symbol" w:hint="default"/>
      </w:rPr>
    </w:lvl>
    <w:lvl w:ilvl="1" w:tplc="AD1C7BBE">
      <w:numFmt w:val="chineseCounting"/>
      <w:lvlText w:val=""/>
      <w:lvlJc w:val="left"/>
    </w:lvl>
    <w:lvl w:ilvl="2" w:tplc="8E5869B4">
      <w:numFmt w:val="chineseCounting"/>
      <w:lvlText w:val=""/>
      <w:lvlJc w:val="left"/>
    </w:lvl>
    <w:lvl w:ilvl="3" w:tplc="AEE61858">
      <w:numFmt w:val="chineseCounting"/>
      <w:lvlText w:val=""/>
      <w:lvlJc w:val="left"/>
    </w:lvl>
    <w:lvl w:ilvl="4" w:tplc="5E1CCC64">
      <w:numFmt w:val="chineseCounting"/>
      <w:lvlText w:val=""/>
      <w:lvlJc w:val="left"/>
    </w:lvl>
    <w:lvl w:ilvl="5" w:tplc="C9B230BC">
      <w:numFmt w:val="chineseCounting"/>
      <w:lvlText w:val=""/>
      <w:lvlJc w:val="left"/>
    </w:lvl>
    <w:lvl w:ilvl="6" w:tplc="ECA643A4">
      <w:numFmt w:val="chineseCounting"/>
      <w:lvlText w:val=""/>
      <w:lvlJc w:val="left"/>
    </w:lvl>
    <w:lvl w:ilvl="7" w:tplc="4E6C08AA">
      <w:numFmt w:val="chineseCounting"/>
      <w:lvlText w:val=""/>
      <w:lvlJc w:val="left"/>
    </w:lvl>
    <w:lvl w:ilvl="8" w:tplc="CB4E263C">
      <w:numFmt w:val="chineseCounting"/>
      <w:lvlText w:val=""/>
      <w:lvlJc w:val="left"/>
    </w:lvl>
  </w:abstractNum>
  <w:abstractNum w:abstractNumId="9" w15:restartNumberingAfterBreak="0">
    <w:nsid w:val="36FB7FAF"/>
    <w:multiLevelType w:val="hybridMultilevel"/>
    <w:tmpl w:val="52A03128"/>
    <w:lvl w:ilvl="0" w:tplc="38A4408C">
      <w:start w:val="1"/>
      <w:numFmt w:val="chineseCounting"/>
      <w:lvlText w:val="%1."/>
      <w:lvlJc w:val="left"/>
      <w:pPr>
        <w:tabs>
          <w:tab w:val="num" w:pos="900"/>
        </w:tabs>
        <w:ind w:left="540" w:hanging="360"/>
      </w:pPr>
    </w:lvl>
    <w:lvl w:ilvl="1" w:tplc="88C69094">
      <w:numFmt w:val="chineseCounting"/>
      <w:lvlText w:val=""/>
      <w:lvlJc w:val="left"/>
    </w:lvl>
    <w:lvl w:ilvl="2" w:tplc="05BC35F8">
      <w:numFmt w:val="chineseCounting"/>
      <w:lvlText w:val=""/>
      <w:lvlJc w:val="left"/>
    </w:lvl>
    <w:lvl w:ilvl="3" w:tplc="C5A28FA6">
      <w:numFmt w:val="chineseCounting"/>
      <w:lvlText w:val=""/>
      <w:lvlJc w:val="left"/>
    </w:lvl>
    <w:lvl w:ilvl="4" w:tplc="5F2C7C10">
      <w:numFmt w:val="chineseCounting"/>
      <w:lvlText w:val=""/>
      <w:lvlJc w:val="left"/>
    </w:lvl>
    <w:lvl w:ilvl="5" w:tplc="EE721DA6">
      <w:numFmt w:val="chineseCounting"/>
      <w:lvlText w:val=""/>
      <w:lvlJc w:val="left"/>
    </w:lvl>
    <w:lvl w:ilvl="6" w:tplc="B2EEE1BE">
      <w:numFmt w:val="chineseCounting"/>
      <w:lvlText w:val=""/>
      <w:lvlJc w:val="left"/>
    </w:lvl>
    <w:lvl w:ilvl="7" w:tplc="B05AE1CC">
      <w:numFmt w:val="chineseCounting"/>
      <w:lvlText w:val=""/>
      <w:lvlJc w:val="left"/>
    </w:lvl>
    <w:lvl w:ilvl="8" w:tplc="EB247844">
      <w:numFmt w:val="chineseCounting"/>
      <w:lvlText w:val=""/>
      <w:lvlJc w:val="left"/>
    </w:lvl>
  </w:abstractNum>
  <w:abstractNum w:abstractNumId="10" w15:restartNumberingAfterBreak="0">
    <w:nsid w:val="3BFD2AD8"/>
    <w:multiLevelType w:val="hybridMultilevel"/>
    <w:tmpl w:val="B0007794"/>
    <w:lvl w:ilvl="0" w:tplc="F8DA8D9E">
      <w:start w:val="1"/>
      <w:numFmt w:val="bullet"/>
      <w:lvlText w:val=""/>
      <w:lvlJc w:val="left"/>
      <w:pPr>
        <w:tabs>
          <w:tab w:val="num" w:pos="900"/>
        </w:tabs>
        <w:ind w:left="540" w:hanging="360"/>
      </w:pPr>
      <w:rPr>
        <w:rFonts w:ascii="Symbol" w:hAnsi="Symbol" w:hint="default"/>
      </w:rPr>
    </w:lvl>
    <w:lvl w:ilvl="1" w:tplc="4D622AD6">
      <w:numFmt w:val="chineseCounting"/>
      <w:lvlText w:val=""/>
      <w:lvlJc w:val="left"/>
    </w:lvl>
    <w:lvl w:ilvl="2" w:tplc="A4803708">
      <w:numFmt w:val="chineseCounting"/>
      <w:lvlText w:val=""/>
      <w:lvlJc w:val="left"/>
    </w:lvl>
    <w:lvl w:ilvl="3" w:tplc="A62A2186">
      <w:numFmt w:val="chineseCounting"/>
      <w:lvlText w:val=""/>
      <w:lvlJc w:val="left"/>
    </w:lvl>
    <w:lvl w:ilvl="4" w:tplc="70EA1EFC">
      <w:numFmt w:val="chineseCounting"/>
      <w:lvlText w:val=""/>
      <w:lvlJc w:val="left"/>
    </w:lvl>
    <w:lvl w:ilvl="5" w:tplc="0DB67FBE">
      <w:numFmt w:val="chineseCounting"/>
      <w:lvlText w:val=""/>
      <w:lvlJc w:val="left"/>
    </w:lvl>
    <w:lvl w:ilvl="6" w:tplc="42BECA80">
      <w:numFmt w:val="chineseCounting"/>
      <w:lvlText w:val=""/>
      <w:lvlJc w:val="left"/>
    </w:lvl>
    <w:lvl w:ilvl="7" w:tplc="3132D88E">
      <w:numFmt w:val="chineseCounting"/>
      <w:lvlText w:val=""/>
      <w:lvlJc w:val="left"/>
    </w:lvl>
    <w:lvl w:ilvl="8" w:tplc="75BAFB4E">
      <w:numFmt w:val="chineseCounting"/>
      <w:lvlText w:val=""/>
      <w:lvlJc w:val="left"/>
    </w:lvl>
  </w:abstractNum>
  <w:abstractNum w:abstractNumId="11" w15:restartNumberingAfterBreak="0">
    <w:nsid w:val="3E615F46"/>
    <w:multiLevelType w:val="hybridMultilevel"/>
    <w:tmpl w:val="9ECEDAEE"/>
    <w:lvl w:ilvl="0" w:tplc="61183EF8">
      <w:start w:val="1"/>
      <w:numFmt w:val="bullet"/>
      <w:lvlText w:val=""/>
      <w:lvlJc w:val="left"/>
      <w:pPr>
        <w:tabs>
          <w:tab w:val="num" w:pos="900"/>
        </w:tabs>
        <w:ind w:left="540" w:hanging="360"/>
      </w:pPr>
      <w:rPr>
        <w:rFonts w:ascii="Symbol" w:hAnsi="Symbol" w:hint="default"/>
      </w:rPr>
    </w:lvl>
    <w:lvl w:ilvl="1" w:tplc="337EC7BC">
      <w:numFmt w:val="chineseCounting"/>
      <w:lvlText w:val=""/>
      <w:lvlJc w:val="left"/>
    </w:lvl>
    <w:lvl w:ilvl="2" w:tplc="FF8E851E">
      <w:numFmt w:val="chineseCounting"/>
      <w:lvlText w:val=""/>
      <w:lvlJc w:val="left"/>
    </w:lvl>
    <w:lvl w:ilvl="3" w:tplc="4BF43548">
      <w:numFmt w:val="chineseCounting"/>
      <w:lvlText w:val=""/>
      <w:lvlJc w:val="left"/>
    </w:lvl>
    <w:lvl w:ilvl="4" w:tplc="795C44A2">
      <w:numFmt w:val="chineseCounting"/>
      <w:lvlText w:val=""/>
      <w:lvlJc w:val="left"/>
    </w:lvl>
    <w:lvl w:ilvl="5" w:tplc="78F0FFC8">
      <w:numFmt w:val="chineseCounting"/>
      <w:lvlText w:val=""/>
      <w:lvlJc w:val="left"/>
    </w:lvl>
    <w:lvl w:ilvl="6" w:tplc="2FD20236">
      <w:numFmt w:val="chineseCounting"/>
      <w:lvlText w:val=""/>
      <w:lvlJc w:val="left"/>
    </w:lvl>
    <w:lvl w:ilvl="7" w:tplc="14DED0B0">
      <w:numFmt w:val="chineseCounting"/>
      <w:lvlText w:val=""/>
      <w:lvlJc w:val="left"/>
    </w:lvl>
    <w:lvl w:ilvl="8" w:tplc="97E4AC08">
      <w:numFmt w:val="chineseCounting"/>
      <w:lvlText w:val=""/>
      <w:lvlJc w:val="left"/>
    </w:lvl>
  </w:abstractNum>
  <w:abstractNum w:abstractNumId="12" w15:restartNumberingAfterBreak="0">
    <w:nsid w:val="3E9B75BD"/>
    <w:multiLevelType w:val="hybridMultilevel"/>
    <w:tmpl w:val="6ADCFF66"/>
    <w:lvl w:ilvl="0" w:tplc="8494BA8C">
      <w:start w:val="1"/>
      <w:numFmt w:val="bullet"/>
      <w:lvlText w:val=""/>
      <w:lvlJc w:val="left"/>
      <w:pPr>
        <w:tabs>
          <w:tab w:val="num" w:pos="900"/>
        </w:tabs>
        <w:ind w:left="540" w:hanging="360"/>
      </w:pPr>
      <w:rPr>
        <w:rFonts w:ascii="Symbol" w:hAnsi="Symbol" w:hint="default"/>
      </w:rPr>
    </w:lvl>
    <w:lvl w:ilvl="1" w:tplc="0A4678F4">
      <w:numFmt w:val="chineseCounting"/>
      <w:lvlText w:val=""/>
      <w:lvlJc w:val="left"/>
    </w:lvl>
    <w:lvl w:ilvl="2" w:tplc="AFBA1268">
      <w:numFmt w:val="chineseCounting"/>
      <w:lvlText w:val=""/>
      <w:lvlJc w:val="left"/>
    </w:lvl>
    <w:lvl w:ilvl="3" w:tplc="77C67B60">
      <w:numFmt w:val="chineseCounting"/>
      <w:lvlText w:val=""/>
      <w:lvlJc w:val="left"/>
    </w:lvl>
    <w:lvl w:ilvl="4" w:tplc="81588C2A">
      <w:numFmt w:val="chineseCounting"/>
      <w:lvlText w:val=""/>
      <w:lvlJc w:val="left"/>
    </w:lvl>
    <w:lvl w:ilvl="5" w:tplc="C5AE422C">
      <w:numFmt w:val="chineseCounting"/>
      <w:lvlText w:val=""/>
      <w:lvlJc w:val="left"/>
    </w:lvl>
    <w:lvl w:ilvl="6" w:tplc="2312C0F6">
      <w:numFmt w:val="chineseCounting"/>
      <w:lvlText w:val=""/>
      <w:lvlJc w:val="left"/>
    </w:lvl>
    <w:lvl w:ilvl="7" w:tplc="10980FE4">
      <w:numFmt w:val="chineseCounting"/>
      <w:lvlText w:val=""/>
      <w:lvlJc w:val="left"/>
    </w:lvl>
    <w:lvl w:ilvl="8" w:tplc="FE580854">
      <w:numFmt w:val="chineseCounting"/>
      <w:lvlText w:val=""/>
      <w:lvlJc w:val="left"/>
    </w:lvl>
  </w:abstractNum>
  <w:abstractNum w:abstractNumId="13" w15:restartNumberingAfterBreak="0">
    <w:nsid w:val="58AB61F7"/>
    <w:multiLevelType w:val="hybridMultilevel"/>
    <w:tmpl w:val="39EC8106"/>
    <w:lvl w:ilvl="0" w:tplc="340C07A6">
      <w:start w:val="1"/>
      <w:numFmt w:val="bullet"/>
      <w:lvlText w:val=""/>
      <w:lvlJc w:val="left"/>
      <w:pPr>
        <w:tabs>
          <w:tab w:val="num" w:pos="900"/>
        </w:tabs>
        <w:ind w:left="540" w:hanging="360"/>
      </w:pPr>
      <w:rPr>
        <w:rFonts w:ascii="Symbol" w:hAnsi="Symbol" w:hint="default"/>
      </w:rPr>
    </w:lvl>
    <w:lvl w:ilvl="1" w:tplc="A596DA68">
      <w:numFmt w:val="chineseCounting"/>
      <w:lvlText w:val=""/>
      <w:lvlJc w:val="left"/>
    </w:lvl>
    <w:lvl w:ilvl="2" w:tplc="882454DC">
      <w:numFmt w:val="chineseCounting"/>
      <w:lvlText w:val=""/>
      <w:lvlJc w:val="left"/>
    </w:lvl>
    <w:lvl w:ilvl="3" w:tplc="D57448A0">
      <w:numFmt w:val="chineseCounting"/>
      <w:lvlText w:val=""/>
      <w:lvlJc w:val="left"/>
    </w:lvl>
    <w:lvl w:ilvl="4" w:tplc="8370E684">
      <w:numFmt w:val="chineseCounting"/>
      <w:lvlText w:val=""/>
      <w:lvlJc w:val="left"/>
    </w:lvl>
    <w:lvl w:ilvl="5" w:tplc="E778AA5E">
      <w:numFmt w:val="chineseCounting"/>
      <w:lvlText w:val=""/>
      <w:lvlJc w:val="left"/>
    </w:lvl>
    <w:lvl w:ilvl="6" w:tplc="68CA86CA">
      <w:numFmt w:val="chineseCounting"/>
      <w:lvlText w:val=""/>
      <w:lvlJc w:val="left"/>
    </w:lvl>
    <w:lvl w:ilvl="7" w:tplc="52D653A8">
      <w:numFmt w:val="chineseCounting"/>
      <w:lvlText w:val=""/>
      <w:lvlJc w:val="left"/>
    </w:lvl>
    <w:lvl w:ilvl="8" w:tplc="E55A3C1E">
      <w:numFmt w:val="chineseCounting"/>
      <w:lvlText w:val=""/>
      <w:lvlJc w:val="left"/>
    </w:lvl>
  </w:abstractNum>
  <w:abstractNum w:abstractNumId="14" w15:restartNumberingAfterBreak="0">
    <w:nsid w:val="5B562EA6"/>
    <w:multiLevelType w:val="hybridMultilevel"/>
    <w:tmpl w:val="956AA8B4"/>
    <w:lvl w:ilvl="0" w:tplc="999EB230">
      <w:start w:val="1"/>
      <w:numFmt w:val="bullet"/>
      <w:lvlText w:val=""/>
      <w:lvlJc w:val="left"/>
      <w:pPr>
        <w:tabs>
          <w:tab w:val="num" w:pos="900"/>
        </w:tabs>
        <w:ind w:left="540" w:hanging="360"/>
      </w:pPr>
      <w:rPr>
        <w:rFonts w:ascii="Symbol" w:hAnsi="Symbol" w:hint="default"/>
      </w:rPr>
    </w:lvl>
    <w:lvl w:ilvl="1" w:tplc="7FEC0D8C">
      <w:numFmt w:val="chineseCounting"/>
      <w:lvlText w:val=""/>
      <w:lvlJc w:val="left"/>
    </w:lvl>
    <w:lvl w:ilvl="2" w:tplc="0C708250">
      <w:numFmt w:val="chineseCounting"/>
      <w:lvlText w:val=""/>
      <w:lvlJc w:val="left"/>
    </w:lvl>
    <w:lvl w:ilvl="3" w:tplc="BC48ADE4">
      <w:numFmt w:val="chineseCounting"/>
      <w:lvlText w:val=""/>
      <w:lvlJc w:val="left"/>
    </w:lvl>
    <w:lvl w:ilvl="4" w:tplc="9126D8F8">
      <w:numFmt w:val="chineseCounting"/>
      <w:lvlText w:val=""/>
      <w:lvlJc w:val="left"/>
    </w:lvl>
    <w:lvl w:ilvl="5" w:tplc="5A3AC4A0">
      <w:numFmt w:val="chineseCounting"/>
      <w:lvlText w:val=""/>
      <w:lvlJc w:val="left"/>
    </w:lvl>
    <w:lvl w:ilvl="6" w:tplc="DAB03832">
      <w:numFmt w:val="chineseCounting"/>
      <w:lvlText w:val=""/>
      <w:lvlJc w:val="left"/>
    </w:lvl>
    <w:lvl w:ilvl="7" w:tplc="54FA7142">
      <w:numFmt w:val="chineseCounting"/>
      <w:lvlText w:val=""/>
      <w:lvlJc w:val="left"/>
    </w:lvl>
    <w:lvl w:ilvl="8" w:tplc="79B69BFC">
      <w:numFmt w:val="chineseCounting"/>
      <w:lvlText w:val=""/>
      <w:lvlJc w:val="left"/>
    </w:lvl>
  </w:abstractNum>
  <w:abstractNum w:abstractNumId="15" w15:restartNumberingAfterBreak="0">
    <w:nsid w:val="6F3B6E35"/>
    <w:multiLevelType w:val="hybridMultilevel"/>
    <w:tmpl w:val="742643C4"/>
    <w:lvl w:ilvl="0" w:tplc="04F6BC86">
      <w:start w:val="1"/>
      <w:numFmt w:val="bullet"/>
      <w:lvlText w:val=""/>
      <w:lvlJc w:val="left"/>
      <w:pPr>
        <w:tabs>
          <w:tab w:val="num" w:pos="900"/>
        </w:tabs>
        <w:ind w:left="540" w:hanging="360"/>
      </w:pPr>
      <w:rPr>
        <w:rFonts w:ascii="Symbol" w:hAnsi="Symbol" w:hint="default"/>
      </w:rPr>
    </w:lvl>
    <w:lvl w:ilvl="1" w:tplc="FABEEAFC">
      <w:numFmt w:val="chineseCounting"/>
      <w:lvlText w:val=""/>
      <w:lvlJc w:val="left"/>
    </w:lvl>
    <w:lvl w:ilvl="2" w:tplc="4EFA5968">
      <w:numFmt w:val="chineseCounting"/>
      <w:lvlText w:val=""/>
      <w:lvlJc w:val="left"/>
    </w:lvl>
    <w:lvl w:ilvl="3" w:tplc="56B49E20">
      <w:numFmt w:val="chineseCounting"/>
      <w:lvlText w:val=""/>
      <w:lvlJc w:val="left"/>
    </w:lvl>
    <w:lvl w:ilvl="4" w:tplc="A230794C">
      <w:numFmt w:val="chineseCounting"/>
      <w:lvlText w:val=""/>
      <w:lvlJc w:val="left"/>
    </w:lvl>
    <w:lvl w:ilvl="5" w:tplc="E3E6AC46">
      <w:numFmt w:val="chineseCounting"/>
      <w:lvlText w:val=""/>
      <w:lvlJc w:val="left"/>
    </w:lvl>
    <w:lvl w:ilvl="6" w:tplc="9D8C7A0E">
      <w:numFmt w:val="chineseCounting"/>
      <w:lvlText w:val=""/>
      <w:lvlJc w:val="left"/>
    </w:lvl>
    <w:lvl w:ilvl="7" w:tplc="10CE0480">
      <w:numFmt w:val="chineseCounting"/>
      <w:lvlText w:val=""/>
      <w:lvlJc w:val="left"/>
    </w:lvl>
    <w:lvl w:ilvl="8" w:tplc="E0DC0378">
      <w:numFmt w:val="chineseCounting"/>
      <w:lvlText w:val=""/>
      <w:lvlJc w:val="left"/>
    </w:lvl>
  </w:abstractNum>
  <w:num w:numId="1" w16cid:durableId="1800760150">
    <w:abstractNumId w:val="15"/>
  </w:num>
  <w:num w:numId="2" w16cid:durableId="1710914731">
    <w:abstractNumId w:val="4"/>
  </w:num>
  <w:num w:numId="3" w16cid:durableId="83890138">
    <w:abstractNumId w:val="8"/>
  </w:num>
  <w:num w:numId="4" w16cid:durableId="1803185957">
    <w:abstractNumId w:val="14"/>
  </w:num>
  <w:num w:numId="5" w16cid:durableId="1456487199">
    <w:abstractNumId w:val="7"/>
  </w:num>
  <w:num w:numId="6" w16cid:durableId="1373386318">
    <w:abstractNumId w:val="3"/>
  </w:num>
  <w:num w:numId="7" w16cid:durableId="555700264">
    <w:abstractNumId w:val="10"/>
  </w:num>
  <w:num w:numId="8" w16cid:durableId="1473906819">
    <w:abstractNumId w:val="12"/>
  </w:num>
  <w:num w:numId="9" w16cid:durableId="1967076777">
    <w:abstractNumId w:val="1"/>
  </w:num>
  <w:num w:numId="10" w16cid:durableId="667672">
    <w:abstractNumId w:val="13"/>
  </w:num>
  <w:num w:numId="11" w16cid:durableId="1581409423">
    <w:abstractNumId w:val="11"/>
  </w:num>
  <w:num w:numId="12" w16cid:durableId="1247036449">
    <w:abstractNumId w:val="0"/>
  </w:num>
  <w:num w:numId="13" w16cid:durableId="202713827">
    <w:abstractNumId w:val="5"/>
  </w:num>
  <w:num w:numId="14" w16cid:durableId="349533781">
    <w:abstractNumId w:val="6"/>
  </w:num>
  <w:num w:numId="15" w16cid:durableId="2083022973">
    <w:abstractNumId w:val="2"/>
  </w:num>
  <w:num w:numId="16" w16cid:durableId="11269694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339"/>
    <w:rsid w:val="000B1210"/>
    <w:rsid w:val="001428D3"/>
    <w:rsid w:val="00150D5F"/>
    <w:rsid w:val="00174D2C"/>
    <w:rsid w:val="001B4920"/>
    <w:rsid w:val="001C23DA"/>
    <w:rsid w:val="001C4D61"/>
    <w:rsid w:val="00224B35"/>
    <w:rsid w:val="002600B0"/>
    <w:rsid w:val="002E1433"/>
    <w:rsid w:val="003B7339"/>
    <w:rsid w:val="003D669C"/>
    <w:rsid w:val="003E690C"/>
    <w:rsid w:val="003F043E"/>
    <w:rsid w:val="003F2CB3"/>
    <w:rsid w:val="004B2B24"/>
    <w:rsid w:val="004F2DE6"/>
    <w:rsid w:val="005D24DA"/>
    <w:rsid w:val="0074771C"/>
    <w:rsid w:val="007E04E4"/>
    <w:rsid w:val="00803609"/>
    <w:rsid w:val="008C0939"/>
    <w:rsid w:val="008C66F8"/>
    <w:rsid w:val="008D4901"/>
    <w:rsid w:val="008E26E7"/>
    <w:rsid w:val="008E460F"/>
    <w:rsid w:val="009172F5"/>
    <w:rsid w:val="009B44F1"/>
    <w:rsid w:val="00A06627"/>
    <w:rsid w:val="00A53266"/>
    <w:rsid w:val="00A7415D"/>
    <w:rsid w:val="00B634D0"/>
    <w:rsid w:val="00BA6F3A"/>
    <w:rsid w:val="00C05D8F"/>
    <w:rsid w:val="00C66587"/>
    <w:rsid w:val="00C955AB"/>
    <w:rsid w:val="00CF2CA8"/>
    <w:rsid w:val="00D36216"/>
    <w:rsid w:val="00DB7CC5"/>
    <w:rsid w:val="00DD19DD"/>
    <w:rsid w:val="00DF0F9F"/>
    <w:rsid w:val="00E7396B"/>
    <w:rsid w:val="00E856AF"/>
    <w:rsid w:val="00E97A11"/>
    <w:rsid w:val="00EC163D"/>
    <w:rsid w:val="00EC4272"/>
    <w:rsid w:val="00EE630D"/>
    <w:rsid w:val="00F11484"/>
    <w:rsid w:val="00F3024D"/>
    <w:rsid w:val="00FE7C56"/>
    <w:rsid w:val="00FF0769"/>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0E483"/>
  <w15:docId w15:val="{6E5B33CE-5713-42C8-AC91-6BCD29C7E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styleId="PlaceholderText">
    <w:name w:val="Placeholder Text"/>
    <w:basedOn w:val="DefaultParagraphFont"/>
    <w:uiPriority w:val="99"/>
    <w:semiHidden/>
    <w:rsid w:val="009B44F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439</Words>
  <Characters>2503</Characters>
  <Application>Microsoft Office Word</Application>
  <DocSecurity>0</DocSecurity>
  <Lines>20</Lines>
  <Paragraphs>5</Paragraphs>
  <ScaleCrop>false</ScaleCrop>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Yostin Ting</cp:lastModifiedBy>
  <cp:revision>17</cp:revision>
  <cp:lastPrinted>2026-04-27T09:26:00Z</cp:lastPrinted>
  <dcterms:created xsi:type="dcterms:W3CDTF">2026-04-27T09:28:00Z</dcterms:created>
  <dcterms:modified xsi:type="dcterms:W3CDTF">2026-05-13T05:01:00Z</dcterms:modified>
</cp:coreProperties>
</file>